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theme/themeOverride2.xml" ContentType="application/vnd.openxmlformats-officedocument.themeOverride+xml"/>
  <Override PartName="/word/charts/chart19.xml" ContentType="application/vnd.openxmlformats-officedocument.drawingml.chart+xml"/>
  <Override PartName="/word/theme/themeOverride3.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4.xml" ContentType="application/vnd.openxmlformats-officedocument.themeOverride+xml"/>
  <Override PartName="/word/charts/chart26.xml" ContentType="application/vnd.openxmlformats-officedocument.drawingml.chart+xml"/>
  <Override PartName="/word/theme/themeOverride5.xml" ContentType="application/vnd.openxmlformats-officedocument.themeOverride+xml"/>
  <Override PartName="/word/charts/chart2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8.xml" ContentType="application/vnd.openxmlformats-officedocument.drawingml.chart+xml"/>
  <Override PartName="/word/theme/themeOverride6.xml" ContentType="application/vnd.openxmlformats-officedocument.themeOverride+xml"/>
  <Override PartName="/word/charts/chart2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3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2.xml" ContentType="application/vnd.openxmlformats-officedocument.drawingml.chart+xml"/>
  <Override PartName="/word/theme/themeOverride7.xml" ContentType="application/vnd.openxmlformats-officedocument.themeOverride+xml"/>
  <Override PartName="/word/charts/chart33.xml" ContentType="application/vnd.openxmlformats-officedocument.drawingml.chart+xml"/>
  <Override PartName="/word/theme/themeOverride8.xml" ContentType="application/vnd.openxmlformats-officedocument.themeOverride+xml"/>
  <Override PartName="/word/charts/chart3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427449" w14:textId="0858D579" w:rsidR="00C262DB" w:rsidRDefault="00C262DB" w:rsidP="00C262DB">
      <w:pPr>
        <w:rPr>
          <w:rFonts w:cstheme="minorHAnsi"/>
          <w:b/>
          <w:sz w:val="28"/>
          <w:szCs w:val="20"/>
        </w:rPr>
      </w:pPr>
      <w:r>
        <w:rPr>
          <w:rFonts w:cstheme="minorHAnsi"/>
          <w:b/>
          <w:noProof/>
          <w:sz w:val="28"/>
          <w:szCs w:val="20"/>
          <w:lang w:eastAsia="en-GB"/>
        </w:rPr>
        <w:drawing>
          <wp:anchor distT="0" distB="0" distL="114300" distR="114300" simplePos="0" relativeHeight="251665408" behindDoc="0" locked="0" layoutInCell="1" allowOverlap="1" wp14:editId="3F9BE92D">
            <wp:simplePos x="0" y="0"/>
            <wp:positionH relativeFrom="page">
              <wp:posOffset>640080</wp:posOffset>
            </wp:positionH>
            <wp:positionV relativeFrom="page">
              <wp:posOffset>353695</wp:posOffset>
            </wp:positionV>
            <wp:extent cx="1682750" cy="54229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b="24403"/>
                    <a:stretch>
                      <a:fillRect/>
                    </a:stretch>
                  </pic:blipFill>
                  <pic:spPr bwMode="auto">
                    <a:xfrm>
                      <a:off x="0" y="0"/>
                      <a:ext cx="1682750" cy="54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noProof/>
          <w:sz w:val="28"/>
          <w:szCs w:val="20"/>
          <w:lang w:eastAsia="en-GB"/>
        </w:rPr>
        <w:drawing>
          <wp:anchor distT="0" distB="0" distL="114300" distR="114300" simplePos="0" relativeHeight="251664384" behindDoc="1" locked="1" layoutInCell="1" allowOverlap="1" wp14:editId="59CAB928">
            <wp:simplePos x="0" y="0"/>
            <wp:positionH relativeFrom="column">
              <wp:posOffset>2683510</wp:posOffset>
            </wp:positionH>
            <wp:positionV relativeFrom="page">
              <wp:posOffset>381000</wp:posOffset>
            </wp:positionV>
            <wp:extent cx="3562350" cy="483870"/>
            <wp:effectExtent l="0" t="0" r="0" b="0"/>
            <wp:wrapNone/>
            <wp:docPr id="33" name="Picture 33" descr="CW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W Logo Colo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2350" cy="483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DA5784" w14:textId="6B96B248" w:rsidR="000D476B" w:rsidRPr="00C262DB" w:rsidRDefault="00C262DB" w:rsidP="00C262DB">
      <w:pPr>
        <w:jc w:val="center"/>
        <w:rPr>
          <w:rFonts w:cstheme="minorHAnsi"/>
          <w:b/>
          <w:sz w:val="32"/>
          <w:szCs w:val="20"/>
        </w:rPr>
      </w:pPr>
      <w:r w:rsidRPr="00C262DB">
        <w:rPr>
          <w:rFonts w:cstheme="minorHAnsi"/>
          <w:b/>
          <w:sz w:val="32"/>
          <w:szCs w:val="20"/>
        </w:rPr>
        <w:t>Patient Experience (including Complaints) Annual Report 2023/24</w:t>
      </w:r>
    </w:p>
    <w:p w14:paraId="0CB63663" w14:textId="77777777" w:rsidR="00C262DB" w:rsidRDefault="00C262DB" w:rsidP="004540A7">
      <w:pPr>
        <w:spacing w:after="200" w:line="276" w:lineRule="auto"/>
        <w:jc w:val="both"/>
        <w:rPr>
          <w:rFonts w:cs="Arial"/>
          <w:b/>
          <w:noProof/>
          <w:sz w:val="22"/>
          <w:szCs w:val="22"/>
          <w:lang w:eastAsia="en-GB"/>
        </w:rPr>
      </w:pPr>
      <w:bookmarkStart w:id="0" w:name="_GoBack"/>
      <w:bookmarkEnd w:id="0"/>
    </w:p>
    <w:p w14:paraId="2993B064" w14:textId="038126B2" w:rsidR="00BC7091" w:rsidRPr="004540A7" w:rsidRDefault="00F414B8" w:rsidP="004540A7">
      <w:pPr>
        <w:spacing w:after="200" w:line="276" w:lineRule="auto"/>
        <w:jc w:val="both"/>
        <w:rPr>
          <w:rFonts w:cs="Arial"/>
          <w:b/>
          <w:noProof/>
          <w:sz w:val="22"/>
          <w:szCs w:val="22"/>
          <w:lang w:eastAsia="en-GB"/>
        </w:rPr>
      </w:pPr>
      <w:r>
        <w:rPr>
          <w:rFonts w:cs="Arial"/>
          <w:b/>
          <w:noProof/>
          <w:sz w:val="22"/>
          <w:szCs w:val="22"/>
          <w:lang w:eastAsia="en-GB"/>
        </w:rPr>
        <w:t>E</w:t>
      </w:r>
      <w:r w:rsidR="00BC7091" w:rsidRPr="004540A7">
        <w:rPr>
          <w:rFonts w:cs="Arial"/>
          <w:b/>
          <w:noProof/>
          <w:sz w:val="22"/>
          <w:szCs w:val="22"/>
          <w:lang w:eastAsia="en-GB"/>
        </w:rPr>
        <w:t>xperience Strategy Update</w:t>
      </w:r>
    </w:p>
    <w:p w14:paraId="099D45EA" w14:textId="29E31807" w:rsidR="00BC7091" w:rsidRPr="004540A7" w:rsidRDefault="008C3B73" w:rsidP="004540A7">
      <w:pPr>
        <w:spacing w:after="200" w:line="276" w:lineRule="auto"/>
        <w:jc w:val="both"/>
        <w:rPr>
          <w:rFonts w:cs="Arial"/>
          <w:noProof/>
          <w:sz w:val="22"/>
          <w:szCs w:val="22"/>
          <w:lang w:eastAsia="en-GB"/>
        </w:rPr>
      </w:pPr>
      <w:r w:rsidRPr="004540A7">
        <w:rPr>
          <w:rFonts w:cs="Arial"/>
          <w:noProof/>
          <w:sz w:val="22"/>
          <w:szCs w:val="22"/>
          <w:lang w:eastAsia="en-GB"/>
        </w:rPr>
        <w:t xml:space="preserve">In May 2023, the trust published </w:t>
      </w:r>
      <w:r w:rsidR="00F414B8">
        <w:rPr>
          <w:rFonts w:cs="Arial"/>
          <w:noProof/>
          <w:sz w:val="22"/>
          <w:szCs w:val="22"/>
          <w:lang w:eastAsia="en-GB"/>
        </w:rPr>
        <w:t xml:space="preserve">a three </w:t>
      </w:r>
      <w:r w:rsidRPr="004540A7">
        <w:rPr>
          <w:rFonts w:cs="Arial"/>
          <w:noProof/>
          <w:sz w:val="22"/>
          <w:szCs w:val="22"/>
          <w:lang w:eastAsia="en-GB"/>
        </w:rPr>
        <w:t xml:space="preserve">year strategy for patient engagement and experience – Patient Engagement and Experience Strategy </w:t>
      </w:r>
      <w:r w:rsidR="00C45C5D">
        <w:rPr>
          <w:rFonts w:cs="Arial"/>
          <w:noProof/>
          <w:sz w:val="22"/>
          <w:szCs w:val="22"/>
          <w:lang w:eastAsia="en-GB"/>
        </w:rPr>
        <w:t xml:space="preserve">(PEES) </w:t>
      </w:r>
      <w:r w:rsidRPr="004540A7">
        <w:rPr>
          <w:rFonts w:cs="Arial"/>
          <w:noProof/>
          <w:sz w:val="22"/>
          <w:szCs w:val="22"/>
          <w:lang w:eastAsia="en-GB"/>
        </w:rPr>
        <w:t>2023-2026. The strategy had four objectives:</w:t>
      </w:r>
    </w:p>
    <w:p w14:paraId="5BFF73B9" w14:textId="77777777" w:rsidR="008C3B73" w:rsidRPr="004540A7" w:rsidRDefault="008C3B73" w:rsidP="004540A7">
      <w:pPr>
        <w:pStyle w:val="ListParagraph"/>
        <w:numPr>
          <w:ilvl w:val="0"/>
          <w:numId w:val="9"/>
        </w:numPr>
        <w:jc w:val="both"/>
        <w:rPr>
          <w:rFonts w:cs="Arial"/>
          <w:sz w:val="22"/>
          <w:szCs w:val="22"/>
        </w:rPr>
      </w:pPr>
      <w:r w:rsidRPr="004540A7">
        <w:rPr>
          <w:rFonts w:cs="Arial"/>
          <w:b/>
          <w:bCs/>
          <w:sz w:val="22"/>
          <w:szCs w:val="22"/>
        </w:rPr>
        <w:t xml:space="preserve">Strategic Objective One: </w:t>
      </w:r>
      <w:r w:rsidRPr="004540A7">
        <w:rPr>
          <w:rFonts w:cs="Arial"/>
          <w:sz w:val="22"/>
          <w:szCs w:val="22"/>
        </w:rPr>
        <w:t>Involvement—“To promote the role and benefits of the public and patients shaping our services, and to develop new and innovative ways of working with you”</w:t>
      </w:r>
    </w:p>
    <w:p w14:paraId="66B1083F" w14:textId="2DD6C3B8" w:rsidR="008C3B73" w:rsidRPr="004540A7" w:rsidRDefault="008C3B73" w:rsidP="004540A7">
      <w:pPr>
        <w:pStyle w:val="ListParagraph"/>
        <w:numPr>
          <w:ilvl w:val="0"/>
          <w:numId w:val="9"/>
        </w:numPr>
        <w:jc w:val="both"/>
        <w:rPr>
          <w:rFonts w:cs="Arial"/>
          <w:i/>
          <w:sz w:val="22"/>
          <w:szCs w:val="22"/>
        </w:rPr>
      </w:pPr>
      <w:r w:rsidRPr="004540A7">
        <w:rPr>
          <w:rFonts w:cs="Arial"/>
          <w:b/>
          <w:sz w:val="22"/>
          <w:szCs w:val="22"/>
        </w:rPr>
        <w:t>Strategic Objective Two:</w:t>
      </w:r>
      <w:r w:rsidRPr="004540A7">
        <w:rPr>
          <w:rFonts w:cs="Arial"/>
          <w:bCs/>
          <w:sz w:val="22"/>
          <w:szCs w:val="22"/>
        </w:rPr>
        <w:t xml:space="preserve"> </w:t>
      </w:r>
      <w:r w:rsidRPr="004540A7">
        <w:rPr>
          <w:rFonts w:cs="Arial"/>
          <w:sz w:val="22"/>
          <w:szCs w:val="22"/>
        </w:rPr>
        <w:t xml:space="preserve">Create opportunities for feedback, Ensure we have appropriate mechanisms for capturing this feedback, Listening to what our patients are sayings and Acting on it - </w:t>
      </w:r>
      <w:r w:rsidRPr="004540A7">
        <w:rPr>
          <w:rFonts w:cs="Arial"/>
          <w:i/>
          <w:sz w:val="22"/>
          <w:szCs w:val="22"/>
        </w:rPr>
        <w:t>“To improve how we share the improvements made after your feedback and the patient involvement work we do”</w:t>
      </w:r>
    </w:p>
    <w:p w14:paraId="2AD680ED" w14:textId="1B616D80" w:rsidR="008C3B73" w:rsidRPr="004540A7" w:rsidRDefault="008C3B73" w:rsidP="004540A7">
      <w:pPr>
        <w:pStyle w:val="ListParagraph"/>
        <w:numPr>
          <w:ilvl w:val="0"/>
          <w:numId w:val="9"/>
        </w:numPr>
        <w:spacing w:after="200" w:line="276" w:lineRule="auto"/>
        <w:jc w:val="both"/>
        <w:rPr>
          <w:rFonts w:cs="Arial"/>
          <w:noProof/>
          <w:sz w:val="22"/>
          <w:szCs w:val="22"/>
          <w:lang w:eastAsia="en-GB"/>
        </w:rPr>
      </w:pPr>
      <w:r w:rsidRPr="004540A7">
        <w:rPr>
          <w:rFonts w:cs="Arial"/>
          <w:b/>
          <w:bCs/>
          <w:sz w:val="22"/>
          <w:szCs w:val="22"/>
        </w:rPr>
        <w:t>Strategic Objective Three:</w:t>
      </w:r>
      <w:r w:rsidRPr="004540A7">
        <w:rPr>
          <w:rFonts w:cs="Arial"/>
          <w:sz w:val="22"/>
          <w:szCs w:val="22"/>
        </w:rPr>
        <w:t xml:space="preserve"> Creating a culture – </w:t>
      </w:r>
      <w:r w:rsidRPr="004540A7">
        <w:rPr>
          <w:rFonts w:cs="Arial"/>
          <w:i/>
          <w:sz w:val="22"/>
          <w:szCs w:val="22"/>
        </w:rPr>
        <w:t>“Moving patient experience to the spotlight”</w:t>
      </w:r>
    </w:p>
    <w:p w14:paraId="66CFCCD9" w14:textId="77777777" w:rsidR="008C3B73" w:rsidRPr="004540A7" w:rsidRDefault="008C3B73" w:rsidP="004540A7">
      <w:pPr>
        <w:pStyle w:val="ListParagraph"/>
        <w:numPr>
          <w:ilvl w:val="0"/>
          <w:numId w:val="9"/>
        </w:numPr>
        <w:jc w:val="both"/>
        <w:rPr>
          <w:rFonts w:cs="Arial"/>
          <w:sz w:val="22"/>
          <w:szCs w:val="22"/>
        </w:rPr>
      </w:pPr>
      <w:r w:rsidRPr="004540A7">
        <w:rPr>
          <w:rFonts w:cs="Arial"/>
          <w:b/>
          <w:bCs/>
          <w:sz w:val="22"/>
          <w:szCs w:val="22"/>
        </w:rPr>
        <w:t xml:space="preserve">Strategic Objective Four: Accessibility and Partnerships – </w:t>
      </w:r>
      <w:r w:rsidRPr="004540A7">
        <w:rPr>
          <w:rFonts w:cs="Arial"/>
          <w:sz w:val="22"/>
          <w:szCs w:val="22"/>
        </w:rPr>
        <w:t>“To develop our partnerships and increase the number and diversity of people involved, creating accessibility for all”</w:t>
      </w:r>
    </w:p>
    <w:p w14:paraId="45144B5F" w14:textId="2F977ABB" w:rsidR="00C45C5D" w:rsidRDefault="00C45C5D" w:rsidP="004540A7">
      <w:pPr>
        <w:spacing w:after="200" w:line="276" w:lineRule="auto"/>
        <w:jc w:val="both"/>
        <w:rPr>
          <w:rFonts w:cs="Arial"/>
          <w:noProof/>
          <w:sz w:val="22"/>
          <w:szCs w:val="22"/>
          <w:lang w:eastAsia="en-GB"/>
        </w:rPr>
      </w:pPr>
      <w:r>
        <w:rPr>
          <w:rFonts w:cs="Arial"/>
          <w:noProof/>
          <w:sz w:val="22"/>
          <w:szCs w:val="22"/>
          <w:lang w:eastAsia="en-GB"/>
        </w:rPr>
        <w:t>The Patient and Public Experience and Engagement Group (PPEEG) is established as a sub-committee of the Quality Committee, a formal committee of the Trust Board. The PPEEG provides strategic vision and oversight of all areas patient experience, and leads, promotes and informs the patient experience agenda and strategy at the Trust. The group receives bi-annual reports from Divisions</w:t>
      </w:r>
      <w:r w:rsidR="004F6A88">
        <w:rPr>
          <w:rFonts w:cs="Arial"/>
          <w:noProof/>
          <w:sz w:val="22"/>
          <w:szCs w:val="22"/>
          <w:lang w:eastAsia="en-GB"/>
        </w:rPr>
        <w:t xml:space="preserve"> and sub-groups, such as volunteers, research, chaplaincy, learning disability,</w:t>
      </w:r>
      <w:r>
        <w:rPr>
          <w:rFonts w:cs="Arial"/>
          <w:noProof/>
          <w:sz w:val="22"/>
          <w:szCs w:val="22"/>
          <w:lang w:eastAsia="en-GB"/>
        </w:rPr>
        <w:t xml:space="preserve"> to monitor their patient experience programmes of work and ensure progress against the PEES and the Trust quality priorities. </w:t>
      </w:r>
      <w:r w:rsidR="00532915">
        <w:rPr>
          <w:rFonts w:cs="Arial"/>
          <w:noProof/>
          <w:sz w:val="22"/>
          <w:szCs w:val="22"/>
          <w:lang w:eastAsia="en-GB"/>
        </w:rPr>
        <w:t xml:space="preserve">The group is chaired by the Director of Nursing for Chelsea and Westminster Hospital. </w:t>
      </w:r>
    </w:p>
    <w:p w14:paraId="539796E8" w14:textId="2B07953B" w:rsidR="003147F0" w:rsidRDefault="008C3B73" w:rsidP="004540A7">
      <w:pPr>
        <w:spacing w:after="200" w:line="276" w:lineRule="auto"/>
        <w:jc w:val="both"/>
        <w:rPr>
          <w:rFonts w:cs="Arial"/>
          <w:noProof/>
          <w:sz w:val="22"/>
          <w:szCs w:val="22"/>
          <w:lang w:eastAsia="en-GB"/>
        </w:rPr>
      </w:pPr>
      <w:r w:rsidRPr="004540A7">
        <w:rPr>
          <w:rFonts w:cs="Arial"/>
          <w:noProof/>
          <w:sz w:val="22"/>
          <w:szCs w:val="22"/>
          <w:lang w:eastAsia="en-GB"/>
        </w:rPr>
        <w:t xml:space="preserve">Considerable progress against these objectives has been achieved over the course of the year, with regards to both the </w:t>
      </w:r>
      <w:r w:rsidR="004627C9" w:rsidRPr="004540A7">
        <w:rPr>
          <w:rFonts w:cs="Arial"/>
          <w:noProof/>
          <w:sz w:val="22"/>
          <w:szCs w:val="22"/>
          <w:lang w:eastAsia="en-GB"/>
        </w:rPr>
        <w:t>aspirational</w:t>
      </w:r>
      <w:r w:rsidRPr="004540A7">
        <w:rPr>
          <w:rFonts w:cs="Arial"/>
          <w:noProof/>
          <w:sz w:val="22"/>
          <w:szCs w:val="22"/>
          <w:lang w:eastAsia="en-GB"/>
        </w:rPr>
        <w:t xml:space="preserve"> quanitiative metrics but also some of the more cultural shifts and external engagement.</w:t>
      </w:r>
      <w:r w:rsidR="003147F0">
        <w:rPr>
          <w:rFonts w:cs="Arial"/>
          <w:noProof/>
          <w:sz w:val="22"/>
          <w:szCs w:val="22"/>
          <w:lang w:eastAsia="en-GB"/>
        </w:rPr>
        <w:t xml:space="preserve"> Year one progress against the strategy is outlined through pages 5-13 using the RAG index below:</w:t>
      </w:r>
    </w:p>
    <w:tbl>
      <w:tblPr>
        <w:tblStyle w:val="TableGrid"/>
        <w:tblW w:w="0" w:type="auto"/>
        <w:tblLook w:val="04A0" w:firstRow="1" w:lastRow="0" w:firstColumn="1" w:lastColumn="0" w:noHBand="0" w:noVBand="1"/>
      </w:tblPr>
      <w:tblGrid>
        <w:gridCol w:w="2203"/>
        <w:gridCol w:w="2205"/>
      </w:tblGrid>
      <w:tr w:rsidR="003147F0" w14:paraId="38F5CA16" w14:textId="77777777" w:rsidTr="00585437">
        <w:trPr>
          <w:trHeight w:val="364"/>
        </w:trPr>
        <w:tc>
          <w:tcPr>
            <w:tcW w:w="4408" w:type="dxa"/>
            <w:gridSpan w:val="2"/>
          </w:tcPr>
          <w:p w14:paraId="717BE464" w14:textId="77777777" w:rsidR="003147F0" w:rsidRPr="003147F0" w:rsidRDefault="003147F0" w:rsidP="00CA01FD">
            <w:pPr>
              <w:spacing w:after="200"/>
              <w:jc w:val="center"/>
              <w:rPr>
                <w:rFonts w:cs="Arial"/>
                <w:b/>
                <w:noProof/>
                <w:sz w:val="22"/>
                <w:szCs w:val="22"/>
                <w:lang w:eastAsia="en-GB"/>
              </w:rPr>
            </w:pPr>
            <w:r>
              <w:rPr>
                <w:rFonts w:cs="Arial"/>
                <w:b/>
                <w:noProof/>
                <w:sz w:val="22"/>
                <w:szCs w:val="22"/>
                <w:lang w:eastAsia="en-GB"/>
              </w:rPr>
              <w:t>Status (RAG)</w:t>
            </w:r>
          </w:p>
        </w:tc>
      </w:tr>
      <w:tr w:rsidR="003147F0" w14:paraId="10A006B6" w14:textId="77777777" w:rsidTr="00585437">
        <w:trPr>
          <w:trHeight w:val="364"/>
        </w:trPr>
        <w:tc>
          <w:tcPr>
            <w:tcW w:w="2203" w:type="dxa"/>
          </w:tcPr>
          <w:p w14:paraId="48568E46" w14:textId="77777777" w:rsidR="003147F0" w:rsidRDefault="003147F0" w:rsidP="00CA01FD">
            <w:pPr>
              <w:spacing w:after="200"/>
              <w:rPr>
                <w:rFonts w:cs="Arial"/>
                <w:noProof/>
                <w:sz w:val="22"/>
                <w:szCs w:val="22"/>
                <w:lang w:eastAsia="en-GB"/>
              </w:rPr>
            </w:pPr>
            <w:r>
              <w:rPr>
                <w:rFonts w:cs="Arial"/>
                <w:noProof/>
                <w:sz w:val="22"/>
                <w:szCs w:val="22"/>
                <w:lang w:eastAsia="en-GB"/>
              </w:rPr>
              <w:t>Complete</w:t>
            </w:r>
          </w:p>
        </w:tc>
        <w:tc>
          <w:tcPr>
            <w:tcW w:w="2204" w:type="dxa"/>
            <w:shd w:val="clear" w:color="auto" w:fill="0070C0"/>
          </w:tcPr>
          <w:p w14:paraId="3B9CFCEE" w14:textId="77777777" w:rsidR="003147F0" w:rsidRDefault="003147F0" w:rsidP="00CA01FD">
            <w:pPr>
              <w:spacing w:after="200"/>
              <w:rPr>
                <w:rFonts w:cs="Arial"/>
                <w:noProof/>
                <w:sz w:val="22"/>
                <w:szCs w:val="22"/>
                <w:lang w:eastAsia="en-GB"/>
              </w:rPr>
            </w:pPr>
          </w:p>
        </w:tc>
      </w:tr>
      <w:tr w:rsidR="003147F0" w14:paraId="1B589B27" w14:textId="77777777" w:rsidTr="00585437">
        <w:trPr>
          <w:trHeight w:val="364"/>
        </w:trPr>
        <w:tc>
          <w:tcPr>
            <w:tcW w:w="2203" w:type="dxa"/>
          </w:tcPr>
          <w:p w14:paraId="662E3C32" w14:textId="7A414B80" w:rsidR="003147F0" w:rsidRDefault="003147F0" w:rsidP="00BB2010">
            <w:pPr>
              <w:spacing w:after="200"/>
              <w:rPr>
                <w:rFonts w:cs="Arial"/>
                <w:noProof/>
                <w:sz w:val="22"/>
                <w:szCs w:val="22"/>
                <w:lang w:eastAsia="en-GB"/>
              </w:rPr>
            </w:pPr>
            <w:r>
              <w:rPr>
                <w:rFonts w:cs="Arial"/>
                <w:noProof/>
                <w:sz w:val="22"/>
                <w:szCs w:val="22"/>
                <w:lang w:eastAsia="en-GB"/>
              </w:rPr>
              <w:t>On track</w:t>
            </w:r>
            <w:r w:rsidR="00585437">
              <w:rPr>
                <w:rFonts w:cs="Arial"/>
                <w:noProof/>
                <w:sz w:val="22"/>
                <w:szCs w:val="22"/>
                <w:lang w:eastAsia="en-GB"/>
              </w:rPr>
              <w:t xml:space="preserve"> </w:t>
            </w:r>
            <w:r w:rsidR="00BB2010">
              <w:rPr>
                <w:rFonts w:cs="Arial"/>
                <w:noProof/>
                <w:sz w:val="22"/>
                <w:szCs w:val="22"/>
                <w:lang w:eastAsia="en-GB"/>
              </w:rPr>
              <w:t>or</w:t>
            </w:r>
            <w:r w:rsidR="00585437">
              <w:rPr>
                <w:rFonts w:cs="Arial"/>
                <w:noProof/>
                <w:sz w:val="22"/>
                <w:szCs w:val="22"/>
                <w:lang w:eastAsia="en-GB"/>
              </w:rPr>
              <w:t xml:space="preserve"> Ongoing</w:t>
            </w:r>
          </w:p>
        </w:tc>
        <w:tc>
          <w:tcPr>
            <w:tcW w:w="2204" w:type="dxa"/>
            <w:shd w:val="clear" w:color="auto" w:fill="92D050"/>
          </w:tcPr>
          <w:p w14:paraId="16C84054" w14:textId="77777777" w:rsidR="003147F0" w:rsidRDefault="003147F0" w:rsidP="00CA01FD">
            <w:pPr>
              <w:spacing w:after="200"/>
              <w:rPr>
                <w:rFonts w:cs="Arial"/>
                <w:noProof/>
                <w:sz w:val="22"/>
                <w:szCs w:val="22"/>
                <w:lang w:eastAsia="en-GB"/>
              </w:rPr>
            </w:pPr>
          </w:p>
        </w:tc>
      </w:tr>
      <w:tr w:rsidR="003147F0" w14:paraId="22541BFF" w14:textId="77777777" w:rsidTr="00585437">
        <w:trPr>
          <w:trHeight w:val="352"/>
        </w:trPr>
        <w:tc>
          <w:tcPr>
            <w:tcW w:w="2203" w:type="dxa"/>
          </w:tcPr>
          <w:p w14:paraId="3144E955" w14:textId="77777777" w:rsidR="003147F0" w:rsidRDefault="003147F0" w:rsidP="00CA01FD">
            <w:pPr>
              <w:spacing w:after="200"/>
              <w:rPr>
                <w:rFonts w:cs="Arial"/>
                <w:noProof/>
                <w:sz w:val="22"/>
                <w:szCs w:val="22"/>
                <w:lang w:eastAsia="en-GB"/>
              </w:rPr>
            </w:pPr>
            <w:r>
              <w:rPr>
                <w:rFonts w:cs="Arial"/>
                <w:noProof/>
                <w:sz w:val="22"/>
                <w:szCs w:val="22"/>
                <w:lang w:eastAsia="en-GB"/>
              </w:rPr>
              <w:t>Delayed</w:t>
            </w:r>
          </w:p>
        </w:tc>
        <w:tc>
          <w:tcPr>
            <w:tcW w:w="2204" w:type="dxa"/>
            <w:shd w:val="clear" w:color="auto" w:fill="FFC000"/>
          </w:tcPr>
          <w:p w14:paraId="3BB82444" w14:textId="77777777" w:rsidR="003147F0" w:rsidRDefault="003147F0" w:rsidP="00CA01FD">
            <w:pPr>
              <w:spacing w:after="200"/>
              <w:rPr>
                <w:rFonts w:cs="Arial"/>
                <w:noProof/>
                <w:sz w:val="22"/>
                <w:szCs w:val="22"/>
                <w:lang w:eastAsia="en-GB"/>
              </w:rPr>
            </w:pPr>
          </w:p>
        </w:tc>
      </w:tr>
      <w:tr w:rsidR="003147F0" w14:paraId="7A1CC56B" w14:textId="77777777" w:rsidTr="00585437">
        <w:trPr>
          <w:trHeight w:val="364"/>
        </w:trPr>
        <w:tc>
          <w:tcPr>
            <w:tcW w:w="2203" w:type="dxa"/>
          </w:tcPr>
          <w:p w14:paraId="0FC2D091" w14:textId="77777777" w:rsidR="003147F0" w:rsidRDefault="003147F0" w:rsidP="00CA01FD">
            <w:pPr>
              <w:spacing w:after="200"/>
              <w:rPr>
                <w:rFonts w:cs="Arial"/>
                <w:noProof/>
                <w:sz w:val="22"/>
                <w:szCs w:val="22"/>
                <w:lang w:eastAsia="en-GB"/>
              </w:rPr>
            </w:pPr>
            <w:r>
              <w:rPr>
                <w:rFonts w:cs="Arial"/>
                <w:noProof/>
                <w:sz w:val="22"/>
                <w:szCs w:val="22"/>
                <w:lang w:eastAsia="en-GB"/>
              </w:rPr>
              <w:t>At risk</w:t>
            </w:r>
          </w:p>
        </w:tc>
        <w:tc>
          <w:tcPr>
            <w:tcW w:w="2204" w:type="dxa"/>
            <w:shd w:val="clear" w:color="auto" w:fill="FF0000"/>
          </w:tcPr>
          <w:p w14:paraId="3FC816BA" w14:textId="77777777" w:rsidR="003147F0" w:rsidRDefault="003147F0" w:rsidP="00CA01FD">
            <w:pPr>
              <w:spacing w:after="200"/>
              <w:rPr>
                <w:rFonts w:cs="Arial"/>
                <w:noProof/>
                <w:sz w:val="22"/>
                <w:szCs w:val="22"/>
                <w:lang w:eastAsia="en-GB"/>
              </w:rPr>
            </w:pPr>
          </w:p>
        </w:tc>
      </w:tr>
    </w:tbl>
    <w:p w14:paraId="0DAC0C50" w14:textId="77777777" w:rsidR="003147F0" w:rsidRDefault="003147F0" w:rsidP="004540A7">
      <w:pPr>
        <w:spacing w:after="200" w:line="276" w:lineRule="auto"/>
        <w:jc w:val="both"/>
        <w:rPr>
          <w:rFonts w:cs="Arial"/>
          <w:noProof/>
          <w:sz w:val="22"/>
          <w:szCs w:val="22"/>
          <w:lang w:eastAsia="en-GB"/>
        </w:rPr>
      </w:pPr>
    </w:p>
    <w:p w14:paraId="121F6883" w14:textId="69FF9961" w:rsidR="008C3B73" w:rsidRPr="004540A7" w:rsidRDefault="003147F0" w:rsidP="004540A7">
      <w:pPr>
        <w:spacing w:after="200" w:line="276" w:lineRule="auto"/>
        <w:jc w:val="both"/>
        <w:rPr>
          <w:rFonts w:cs="Arial"/>
          <w:noProof/>
          <w:sz w:val="22"/>
          <w:szCs w:val="22"/>
          <w:lang w:eastAsia="en-GB"/>
        </w:rPr>
      </w:pPr>
      <w:r>
        <w:rPr>
          <w:rFonts w:cs="Arial"/>
          <w:noProof/>
          <w:sz w:val="22"/>
          <w:szCs w:val="22"/>
          <w:lang w:eastAsia="en-GB"/>
        </w:rPr>
        <w:lastRenderedPageBreak/>
        <w:t>See below some of the k</w:t>
      </w:r>
      <w:r w:rsidR="008572FE" w:rsidRPr="004540A7">
        <w:rPr>
          <w:rFonts w:cs="Arial"/>
          <w:noProof/>
          <w:sz w:val="22"/>
          <w:szCs w:val="22"/>
          <w:lang w:eastAsia="en-GB"/>
        </w:rPr>
        <w:t>ey achievements</w:t>
      </w:r>
      <w:r>
        <w:rPr>
          <w:rFonts w:cs="Arial"/>
          <w:noProof/>
          <w:sz w:val="22"/>
          <w:szCs w:val="22"/>
          <w:lang w:eastAsia="en-GB"/>
        </w:rPr>
        <w:t xml:space="preserve"> for 2023-24 year</w:t>
      </w:r>
      <w:r w:rsidR="008572FE" w:rsidRPr="004540A7">
        <w:rPr>
          <w:rFonts w:cs="Arial"/>
          <w:noProof/>
          <w:sz w:val="22"/>
          <w:szCs w:val="22"/>
          <w:lang w:eastAsia="en-GB"/>
        </w:rPr>
        <w:t>:</w:t>
      </w:r>
    </w:p>
    <w:p w14:paraId="37E01AA7" w14:textId="0530302D" w:rsidR="00123F6D" w:rsidRPr="004540A7" w:rsidRDefault="008572FE" w:rsidP="004540A7">
      <w:pPr>
        <w:pStyle w:val="ListParagraph"/>
        <w:numPr>
          <w:ilvl w:val="0"/>
          <w:numId w:val="9"/>
        </w:numPr>
        <w:spacing w:after="200" w:line="276" w:lineRule="auto"/>
        <w:jc w:val="both"/>
        <w:rPr>
          <w:rFonts w:cs="Arial"/>
          <w:noProof/>
          <w:sz w:val="22"/>
          <w:szCs w:val="22"/>
          <w:lang w:eastAsia="en-GB"/>
        </w:rPr>
      </w:pPr>
      <w:r w:rsidRPr="004540A7">
        <w:rPr>
          <w:rFonts w:cs="Arial"/>
          <w:noProof/>
          <w:sz w:val="22"/>
          <w:szCs w:val="22"/>
          <w:lang w:eastAsia="en-GB"/>
        </w:rPr>
        <w:t xml:space="preserve">Regular engagement and interactions with Healthwatch partners for projects/representatives, within the Hounslow Borough Based Partnership (BBP) for collaborative working across the borough and with local community groups, such as Action Disability Kensington and Chelsea (ADKC), Ilays (East African Community), NWL BME Health Forum and the Hounslow Muslim community group for PLACE assessments and other activities. </w:t>
      </w:r>
    </w:p>
    <w:p w14:paraId="7AE6FFDE" w14:textId="308E3D63" w:rsidR="00123F6D" w:rsidRPr="004540A7" w:rsidRDefault="00123F6D" w:rsidP="004540A7">
      <w:pPr>
        <w:pStyle w:val="ListParagraph"/>
        <w:numPr>
          <w:ilvl w:val="0"/>
          <w:numId w:val="9"/>
        </w:numPr>
        <w:spacing w:after="200" w:line="276" w:lineRule="auto"/>
        <w:jc w:val="both"/>
        <w:rPr>
          <w:rFonts w:cs="Arial"/>
          <w:noProof/>
          <w:sz w:val="22"/>
          <w:szCs w:val="22"/>
          <w:lang w:eastAsia="en-GB"/>
        </w:rPr>
      </w:pPr>
      <w:r w:rsidRPr="004540A7">
        <w:rPr>
          <w:rFonts w:cs="Arial"/>
          <w:noProof/>
          <w:sz w:val="22"/>
          <w:szCs w:val="22"/>
          <w:lang w:eastAsia="en-GB"/>
        </w:rPr>
        <w:t>Despite aiming to move away for response rate % for 24-25 year, the trust did achieve the aspiration of a 15% response rate for 23-24, which was 5% higher than the national average and suggests we offer a lot of patients opportunities for feedback</w:t>
      </w:r>
    </w:p>
    <w:p w14:paraId="5BD5C240" w14:textId="015197E4" w:rsidR="00123F6D" w:rsidRPr="004540A7" w:rsidRDefault="00123F6D" w:rsidP="004540A7">
      <w:pPr>
        <w:pStyle w:val="ListParagraph"/>
        <w:numPr>
          <w:ilvl w:val="0"/>
          <w:numId w:val="9"/>
        </w:numPr>
        <w:spacing w:after="200" w:line="276" w:lineRule="auto"/>
        <w:jc w:val="both"/>
        <w:rPr>
          <w:rFonts w:cs="Arial"/>
          <w:noProof/>
          <w:sz w:val="22"/>
          <w:szCs w:val="22"/>
          <w:lang w:eastAsia="en-GB"/>
        </w:rPr>
      </w:pPr>
      <w:r w:rsidRPr="004540A7">
        <w:rPr>
          <w:rFonts w:cs="Arial"/>
          <w:noProof/>
          <w:sz w:val="22"/>
          <w:szCs w:val="22"/>
          <w:lang w:eastAsia="en-GB"/>
        </w:rPr>
        <w:t xml:space="preserve">Qualitative patient </w:t>
      </w:r>
      <w:r w:rsidR="00DB20A9" w:rsidRPr="004540A7">
        <w:rPr>
          <w:rFonts w:cs="Arial"/>
          <w:noProof/>
          <w:sz w:val="22"/>
          <w:szCs w:val="22"/>
          <w:lang w:eastAsia="en-GB"/>
        </w:rPr>
        <w:t xml:space="preserve">experience data, such as patient stories, CareOpinion messages and ward accreditation data have been used to help services get deeper insights </w:t>
      </w:r>
      <w:r w:rsidR="00276F22" w:rsidRPr="004540A7">
        <w:rPr>
          <w:rFonts w:cs="Arial"/>
          <w:noProof/>
          <w:sz w:val="22"/>
          <w:szCs w:val="22"/>
          <w:lang w:eastAsia="en-GB"/>
        </w:rPr>
        <w:t>into the experiences of patients in their areas</w:t>
      </w:r>
    </w:p>
    <w:p w14:paraId="3933D5E7" w14:textId="1E73995E" w:rsidR="00DB20A9" w:rsidRPr="004540A7" w:rsidRDefault="00DB20A9" w:rsidP="004540A7">
      <w:pPr>
        <w:spacing w:after="200" w:line="276" w:lineRule="auto"/>
        <w:jc w:val="both"/>
        <w:rPr>
          <w:rFonts w:cs="Arial"/>
          <w:noProof/>
          <w:sz w:val="22"/>
          <w:szCs w:val="22"/>
          <w:lang w:eastAsia="en-GB"/>
        </w:rPr>
      </w:pPr>
      <w:r w:rsidRPr="004540A7">
        <w:rPr>
          <w:rFonts w:cs="Arial"/>
          <w:noProof/>
          <w:sz w:val="22"/>
          <w:szCs w:val="22"/>
          <w:lang w:eastAsia="en-GB"/>
        </w:rPr>
        <w:t xml:space="preserve">A considerable effort has been put into supporting services and divisions with interpreting their national CQC survey data, as the Maternity, Inpatient, UEC, Cancer and Stroke survey results have all been made available over the last year, and developing individual action plans in collaboration with patients where possible. It is hoped in upcoming surveys, the improvements initiaited by services in response to these results will be seen. </w:t>
      </w:r>
    </w:p>
    <w:p w14:paraId="0A144AE7" w14:textId="57943A2C" w:rsidR="00CA01FD" w:rsidRDefault="00CA01FD" w:rsidP="004540A7">
      <w:pPr>
        <w:spacing w:after="200" w:line="276" w:lineRule="auto"/>
        <w:jc w:val="both"/>
        <w:rPr>
          <w:rFonts w:cs="Arial"/>
          <w:noProof/>
          <w:sz w:val="22"/>
          <w:szCs w:val="22"/>
          <w:lang w:eastAsia="en-GB"/>
        </w:rPr>
      </w:pPr>
      <w:r>
        <w:rPr>
          <w:rFonts w:cs="Arial"/>
          <w:noProof/>
          <w:sz w:val="22"/>
          <w:szCs w:val="22"/>
          <w:lang w:eastAsia="en-GB"/>
        </w:rPr>
        <w:t>Despite the successes noted above, there have been a number of challenges or limited progress with some of the objectives and pa</w:t>
      </w:r>
      <w:r w:rsidR="006C4F0A">
        <w:rPr>
          <w:rFonts w:cs="Arial"/>
          <w:noProof/>
          <w:sz w:val="22"/>
          <w:szCs w:val="22"/>
          <w:lang w:eastAsia="en-GB"/>
        </w:rPr>
        <w:t>tient experience workstreams. These</w:t>
      </w:r>
      <w:r>
        <w:rPr>
          <w:rFonts w:cs="Arial"/>
          <w:noProof/>
          <w:sz w:val="22"/>
          <w:szCs w:val="22"/>
          <w:lang w:eastAsia="en-GB"/>
        </w:rPr>
        <w:t xml:space="preserve"> have been outlined below and will form part of the 2024-25 team priorities:</w:t>
      </w:r>
    </w:p>
    <w:p w14:paraId="5C38F1E3" w14:textId="161B2EB6" w:rsidR="00CA01FD" w:rsidRDefault="00CA01FD" w:rsidP="00CA01FD">
      <w:pPr>
        <w:pStyle w:val="ListParagraph"/>
        <w:numPr>
          <w:ilvl w:val="0"/>
          <w:numId w:val="9"/>
        </w:numPr>
        <w:spacing w:after="200" w:line="276" w:lineRule="auto"/>
        <w:jc w:val="both"/>
        <w:rPr>
          <w:rFonts w:cs="Arial"/>
          <w:noProof/>
          <w:sz w:val="22"/>
          <w:szCs w:val="22"/>
          <w:lang w:eastAsia="en-GB"/>
        </w:rPr>
      </w:pPr>
      <w:r>
        <w:rPr>
          <w:rFonts w:cs="Arial"/>
          <w:noProof/>
          <w:sz w:val="22"/>
          <w:szCs w:val="22"/>
          <w:lang w:eastAsia="en-GB"/>
        </w:rPr>
        <w:t xml:space="preserve">It was hoped that there would be a central system </w:t>
      </w:r>
      <w:r w:rsidR="006C4F0A">
        <w:rPr>
          <w:rFonts w:cs="Arial"/>
          <w:noProof/>
          <w:sz w:val="22"/>
          <w:szCs w:val="22"/>
          <w:lang w:eastAsia="en-GB"/>
        </w:rPr>
        <w:t>that</w:t>
      </w:r>
      <w:r>
        <w:rPr>
          <w:rFonts w:cs="Arial"/>
          <w:noProof/>
          <w:sz w:val="22"/>
          <w:szCs w:val="22"/>
          <w:lang w:eastAsia="en-GB"/>
        </w:rPr>
        <w:t xml:space="preserve"> would host all patient experience/feedback data across complaints, PALS, FFT, local surveys, engagement events and ward accreditation; this </w:t>
      </w:r>
      <w:r w:rsidR="006C4F0A">
        <w:rPr>
          <w:rFonts w:cs="Arial"/>
          <w:noProof/>
          <w:sz w:val="22"/>
          <w:szCs w:val="22"/>
          <w:lang w:eastAsia="en-GB"/>
        </w:rPr>
        <w:t xml:space="preserve">in turn would </w:t>
      </w:r>
      <w:r>
        <w:rPr>
          <w:rFonts w:cs="Arial"/>
          <w:noProof/>
          <w:sz w:val="22"/>
          <w:szCs w:val="22"/>
          <w:lang w:eastAsia="en-GB"/>
        </w:rPr>
        <w:t>allow for deeper and more valuable user insights</w:t>
      </w:r>
      <w:r w:rsidR="006C4F0A">
        <w:rPr>
          <w:rFonts w:cs="Arial"/>
          <w:noProof/>
          <w:sz w:val="22"/>
          <w:szCs w:val="22"/>
          <w:lang w:eastAsia="en-GB"/>
        </w:rPr>
        <w:t xml:space="preserve"> to be used as part of any improvement initiatives. Unfortunately this has not happened meaning the triangulation of feedback data from these sources is manual and resource heavy</w:t>
      </w:r>
      <w:r w:rsidR="00405F60">
        <w:rPr>
          <w:rFonts w:cs="Arial"/>
          <w:noProof/>
          <w:sz w:val="22"/>
          <w:szCs w:val="22"/>
          <w:lang w:eastAsia="en-GB"/>
        </w:rPr>
        <w:t>.</w:t>
      </w:r>
      <w:r>
        <w:rPr>
          <w:rFonts w:cs="Arial"/>
          <w:noProof/>
          <w:sz w:val="22"/>
          <w:szCs w:val="22"/>
          <w:lang w:eastAsia="en-GB"/>
        </w:rPr>
        <w:t xml:space="preserve"> </w:t>
      </w:r>
    </w:p>
    <w:p w14:paraId="05A6DF9B" w14:textId="7285FD5C" w:rsidR="00CA01FD" w:rsidRDefault="00CA01FD" w:rsidP="00CA01FD">
      <w:pPr>
        <w:pStyle w:val="ListParagraph"/>
        <w:numPr>
          <w:ilvl w:val="0"/>
          <w:numId w:val="9"/>
        </w:numPr>
        <w:spacing w:after="200" w:line="276" w:lineRule="auto"/>
        <w:jc w:val="both"/>
        <w:rPr>
          <w:rFonts w:cs="Arial"/>
          <w:noProof/>
          <w:sz w:val="22"/>
          <w:szCs w:val="22"/>
          <w:lang w:eastAsia="en-GB"/>
        </w:rPr>
      </w:pPr>
      <w:r w:rsidRPr="00CA01FD">
        <w:rPr>
          <w:rFonts w:cs="Arial"/>
          <w:noProof/>
          <w:sz w:val="22"/>
          <w:szCs w:val="22"/>
          <w:lang w:eastAsia="en-GB"/>
        </w:rPr>
        <w:t>The patient involvement charter, which gives the trust a standardised approach to user involvemen</w:t>
      </w:r>
      <w:r w:rsidR="00405F60">
        <w:rPr>
          <w:rFonts w:cs="Arial"/>
          <w:noProof/>
          <w:sz w:val="22"/>
          <w:szCs w:val="22"/>
          <w:lang w:eastAsia="en-GB"/>
        </w:rPr>
        <w:t xml:space="preserve">t, was coproduced with patients and </w:t>
      </w:r>
      <w:r w:rsidRPr="00CA01FD">
        <w:rPr>
          <w:rFonts w:cs="Arial"/>
          <w:noProof/>
          <w:sz w:val="22"/>
          <w:szCs w:val="22"/>
          <w:lang w:eastAsia="en-GB"/>
        </w:rPr>
        <w:t>public</w:t>
      </w:r>
      <w:r w:rsidR="00004587">
        <w:rPr>
          <w:rFonts w:cs="Arial"/>
          <w:noProof/>
          <w:sz w:val="22"/>
          <w:szCs w:val="22"/>
          <w:lang w:eastAsia="en-GB"/>
        </w:rPr>
        <w:t xml:space="preserve"> between June – December 2023</w:t>
      </w:r>
      <w:r w:rsidR="00405F60">
        <w:rPr>
          <w:rFonts w:cs="Arial"/>
          <w:noProof/>
          <w:sz w:val="22"/>
          <w:szCs w:val="22"/>
          <w:lang w:eastAsia="en-GB"/>
        </w:rPr>
        <w:t>. This charter was approved in principle by senior nursing cabinet in January 2024 however the charter cannot be implemented until the remuneration process is clarified.</w:t>
      </w:r>
      <w:r w:rsidR="00FC5487">
        <w:rPr>
          <w:rFonts w:cs="Arial"/>
          <w:noProof/>
          <w:sz w:val="22"/>
          <w:szCs w:val="22"/>
          <w:lang w:eastAsia="en-GB"/>
        </w:rPr>
        <w:t xml:space="preserve"> This is ongoing.</w:t>
      </w:r>
    </w:p>
    <w:p w14:paraId="56D0E81E" w14:textId="41FC5ADF" w:rsidR="00405F60" w:rsidRDefault="00405F60" w:rsidP="00CA01FD">
      <w:pPr>
        <w:pStyle w:val="ListParagraph"/>
        <w:numPr>
          <w:ilvl w:val="0"/>
          <w:numId w:val="9"/>
        </w:numPr>
        <w:spacing w:after="200" w:line="276" w:lineRule="auto"/>
        <w:jc w:val="both"/>
        <w:rPr>
          <w:rFonts w:cs="Arial"/>
          <w:noProof/>
          <w:sz w:val="22"/>
          <w:szCs w:val="22"/>
          <w:lang w:eastAsia="en-GB"/>
        </w:rPr>
      </w:pPr>
      <w:r>
        <w:rPr>
          <w:rFonts w:cs="Arial"/>
          <w:noProof/>
          <w:sz w:val="22"/>
          <w:szCs w:val="22"/>
          <w:lang w:eastAsia="en-GB"/>
        </w:rPr>
        <w:t>Whilst patient stories have started to be gathered and shared in certain meetings and groups, there needs to be greater integration of patient stories within services and across the trust to influence change and improve patient experience.</w:t>
      </w:r>
    </w:p>
    <w:p w14:paraId="0936E1BA" w14:textId="2BB090F1" w:rsidR="00405F60" w:rsidRPr="00E64A44" w:rsidRDefault="00405F60" w:rsidP="00E64A44">
      <w:pPr>
        <w:pStyle w:val="ListParagraph"/>
        <w:numPr>
          <w:ilvl w:val="0"/>
          <w:numId w:val="9"/>
        </w:numPr>
        <w:spacing w:after="200" w:line="276" w:lineRule="auto"/>
        <w:jc w:val="both"/>
        <w:rPr>
          <w:rFonts w:cs="Arial"/>
          <w:noProof/>
          <w:sz w:val="22"/>
          <w:szCs w:val="22"/>
          <w:lang w:eastAsia="en-GB"/>
        </w:rPr>
      </w:pPr>
      <w:r>
        <w:rPr>
          <w:rFonts w:cs="Arial"/>
          <w:noProof/>
          <w:sz w:val="22"/>
          <w:szCs w:val="22"/>
          <w:lang w:eastAsia="en-GB"/>
        </w:rPr>
        <w:t>The FFT dashboard does not support easy analysis of demographic data</w:t>
      </w:r>
      <w:r w:rsidR="006C4F0A" w:rsidRPr="00E64A44">
        <w:rPr>
          <w:rFonts w:cs="Arial"/>
          <w:noProof/>
          <w:sz w:val="22"/>
          <w:szCs w:val="22"/>
          <w:lang w:eastAsia="en-GB"/>
        </w:rPr>
        <w:t>, meaning it can be resource heavy to fully review this type of information to help identify any inequalities in experience.</w:t>
      </w:r>
    </w:p>
    <w:p w14:paraId="7614DAED" w14:textId="52D0EF37" w:rsidR="00D03076" w:rsidRPr="003147F0" w:rsidRDefault="007D02D0" w:rsidP="00BC7091">
      <w:pPr>
        <w:pStyle w:val="ListParagraph"/>
        <w:numPr>
          <w:ilvl w:val="0"/>
          <w:numId w:val="9"/>
        </w:numPr>
        <w:spacing w:after="200" w:line="276" w:lineRule="auto"/>
        <w:jc w:val="both"/>
        <w:rPr>
          <w:rFonts w:cs="Arial"/>
          <w:noProof/>
          <w:sz w:val="22"/>
          <w:szCs w:val="22"/>
          <w:lang w:eastAsia="en-GB"/>
        </w:rPr>
      </w:pPr>
      <w:r>
        <w:rPr>
          <w:rFonts w:cs="Arial"/>
          <w:noProof/>
          <w:sz w:val="22"/>
          <w:szCs w:val="22"/>
          <w:lang w:eastAsia="en-GB"/>
        </w:rPr>
        <w:t xml:space="preserve">Continued </w:t>
      </w:r>
      <w:r w:rsidR="000D476B">
        <w:rPr>
          <w:rFonts w:cs="Arial"/>
          <w:noProof/>
          <w:sz w:val="22"/>
          <w:szCs w:val="22"/>
          <w:lang w:eastAsia="en-GB"/>
        </w:rPr>
        <w:t xml:space="preserve">work to improve the complaints process </w:t>
      </w:r>
      <w:r w:rsidR="007A2AD0">
        <w:rPr>
          <w:rFonts w:cs="Arial"/>
          <w:noProof/>
          <w:sz w:val="22"/>
          <w:szCs w:val="22"/>
          <w:lang w:eastAsia="en-GB"/>
        </w:rPr>
        <w:t xml:space="preserve">to make this meaningful and helpful for our patients, including </w:t>
      </w:r>
      <w:r w:rsidR="000D476B">
        <w:rPr>
          <w:rFonts w:cs="Arial"/>
          <w:noProof/>
          <w:sz w:val="22"/>
          <w:szCs w:val="22"/>
          <w:lang w:eastAsia="en-GB"/>
        </w:rPr>
        <w:t>response</w:t>
      </w:r>
      <w:r w:rsidR="007A2AD0">
        <w:rPr>
          <w:rFonts w:cs="Arial"/>
          <w:noProof/>
          <w:sz w:val="22"/>
          <w:szCs w:val="22"/>
          <w:lang w:eastAsia="en-GB"/>
        </w:rPr>
        <w:t xml:space="preserve">s in plain English </w:t>
      </w:r>
      <w:r w:rsidR="000D476B">
        <w:rPr>
          <w:rFonts w:cs="Arial"/>
          <w:noProof/>
          <w:sz w:val="22"/>
          <w:szCs w:val="22"/>
          <w:lang w:eastAsia="en-GB"/>
        </w:rPr>
        <w:t xml:space="preserve">and </w:t>
      </w:r>
      <w:r w:rsidR="007A2AD0">
        <w:rPr>
          <w:rFonts w:cs="Arial"/>
          <w:noProof/>
          <w:sz w:val="22"/>
          <w:szCs w:val="22"/>
          <w:lang w:eastAsia="en-GB"/>
        </w:rPr>
        <w:t xml:space="preserve">that </w:t>
      </w:r>
      <w:r w:rsidR="000D476B">
        <w:rPr>
          <w:rFonts w:cs="Arial"/>
          <w:noProof/>
          <w:sz w:val="22"/>
          <w:szCs w:val="22"/>
          <w:lang w:eastAsia="en-GB"/>
        </w:rPr>
        <w:t>outcomes are clearly explained.</w:t>
      </w:r>
    </w:p>
    <w:p w14:paraId="12B386DB" w14:textId="77777777" w:rsidR="00CD7523" w:rsidRPr="00F414B8" w:rsidRDefault="00CD7523" w:rsidP="000D476B">
      <w:pPr>
        <w:spacing w:after="200"/>
        <w:jc w:val="both"/>
        <w:rPr>
          <w:rFonts w:cs="Arial"/>
          <w:b/>
          <w:noProof/>
          <w:sz w:val="22"/>
          <w:szCs w:val="22"/>
          <w:lang w:eastAsia="en-GB"/>
        </w:rPr>
      </w:pPr>
      <w:r w:rsidRPr="00F414B8">
        <w:rPr>
          <w:rFonts w:cs="Arial"/>
          <w:b/>
          <w:noProof/>
          <w:sz w:val="22"/>
          <w:szCs w:val="22"/>
          <w:lang w:eastAsia="en-GB"/>
        </w:rPr>
        <w:t xml:space="preserve">PALS and Complaints </w:t>
      </w:r>
    </w:p>
    <w:p w14:paraId="398960B2" w14:textId="3A9F25C8" w:rsidR="00CD7523" w:rsidRDefault="003D41FC" w:rsidP="000D476B">
      <w:pPr>
        <w:spacing w:after="200"/>
        <w:jc w:val="both"/>
        <w:rPr>
          <w:rFonts w:cs="Arial"/>
          <w:noProof/>
          <w:sz w:val="22"/>
          <w:szCs w:val="22"/>
          <w:lang w:eastAsia="en-GB"/>
        </w:rPr>
      </w:pPr>
      <w:r>
        <w:rPr>
          <w:rFonts w:cs="Arial"/>
          <w:noProof/>
          <w:sz w:val="22"/>
          <w:szCs w:val="22"/>
          <w:lang w:eastAsia="en-GB"/>
        </w:rPr>
        <w:t xml:space="preserve">The PALS and Complaints team manage the </w:t>
      </w:r>
      <w:r w:rsidR="00CD7523">
        <w:rPr>
          <w:rFonts w:cs="Arial"/>
          <w:noProof/>
          <w:sz w:val="22"/>
          <w:szCs w:val="22"/>
          <w:lang w:eastAsia="en-GB"/>
        </w:rPr>
        <w:t>formal complaints</w:t>
      </w:r>
      <w:r>
        <w:rPr>
          <w:rFonts w:cs="Arial"/>
          <w:noProof/>
          <w:sz w:val="22"/>
          <w:szCs w:val="22"/>
          <w:lang w:eastAsia="en-GB"/>
        </w:rPr>
        <w:t xml:space="preserve"> process on behalf of the Trust and will facilitiate an investigation, providing </w:t>
      </w:r>
      <w:r w:rsidR="00CD7523">
        <w:rPr>
          <w:rFonts w:cs="Arial"/>
          <w:noProof/>
          <w:sz w:val="22"/>
          <w:szCs w:val="22"/>
          <w:lang w:eastAsia="en-GB"/>
        </w:rPr>
        <w:t>a timely response that addresses the complaint</w:t>
      </w:r>
      <w:r>
        <w:rPr>
          <w:rFonts w:cs="Arial"/>
          <w:noProof/>
          <w:sz w:val="22"/>
          <w:szCs w:val="22"/>
          <w:lang w:eastAsia="en-GB"/>
        </w:rPr>
        <w:t xml:space="preserve"> and</w:t>
      </w:r>
      <w:r w:rsidR="00CD7523">
        <w:rPr>
          <w:rFonts w:cs="Arial"/>
          <w:noProof/>
          <w:sz w:val="22"/>
          <w:szCs w:val="22"/>
          <w:lang w:eastAsia="en-GB"/>
        </w:rPr>
        <w:t xml:space="preserve"> highlighting any learning.  We aim to respond to 95% com</w:t>
      </w:r>
      <w:r>
        <w:rPr>
          <w:rFonts w:cs="Arial"/>
          <w:noProof/>
          <w:sz w:val="22"/>
          <w:szCs w:val="22"/>
          <w:lang w:eastAsia="en-GB"/>
        </w:rPr>
        <w:t xml:space="preserve">plaints within 25 working days, or by </w:t>
      </w:r>
      <w:r w:rsidR="00CD7523">
        <w:rPr>
          <w:rFonts w:cs="Arial"/>
          <w:noProof/>
          <w:sz w:val="22"/>
          <w:szCs w:val="22"/>
          <w:lang w:eastAsia="en-GB"/>
        </w:rPr>
        <w:t>an agreed timeframe.</w:t>
      </w:r>
    </w:p>
    <w:p w14:paraId="363F5BB0" w14:textId="473E3BCF" w:rsidR="007D02D0" w:rsidRDefault="007D02D0" w:rsidP="000D476B">
      <w:pPr>
        <w:spacing w:after="200"/>
        <w:jc w:val="both"/>
        <w:rPr>
          <w:rFonts w:cs="Arial"/>
          <w:noProof/>
          <w:sz w:val="22"/>
          <w:szCs w:val="22"/>
          <w:lang w:eastAsia="en-GB"/>
        </w:rPr>
      </w:pPr>
      <w:r>
        <w:rPr>
          <w:rFonts w:cs="Arial"/>
          <w:noProof/>
          <w:sz w:val="22"/>
          <w:szCs w:val="22"/>
          <w:lang w:eastAsia="en-GB"/>
        </w:rPr>
        <w:t>PALS and Complaints</w:t>
      </w:r>
      <w:r w:rsidR="009F0433" w:rsidRPr="009F0433">
        <w:rPr>
          <w:rFonts w:cs="Arial"/>
          <w:noProof/>
          <w:sz w:val="22"/>
          <w:szCs w:val="22"/>
          <w:lang w:eastAsia="en-GB"/>
        </w:rPr>
        <w:t xml:space="preserve"> data for the year 2023/4 is at </w:t>
      </w:r>
      <w:r w:rsidR="006C3F1F">
        <w:rPr>
          <w:rFonts w:cs="Arial"/>
          <w:noProof/>
          <w:sz w:val="22"/>
          <w:szCs w:val="22"/>
          <w:lang w:eastAsia="en-GB"/>
        </w:rPr>
        <w:t xml:space="preserve">Appendix 1 </w:t>
      </w:r>
      <w:r w:rsidR="009F0433" w:rsidRPr="006C3F1F">
        <w:rPr>
          <w:rFonts w:cs="Arial"/>
          <w:noProof/>
          <w:sz w:val="22"/>
          <w:szCs w:val="22"/>
          <w:lang w:eastAsia="en-GB"/>
        </w:rPr>
        <w:t>of the report.</w:t>
      </w:r>
      <w:r w:rsidR="009F0433">
        <w:rPr>
          <w:rFonts w:cs="Arial"/>
          <w:noProof/>
          <w:sz w:val="22"/>
          <w:szCs w:val="22"/>
          <w:lang w:eastAsia="en-GB"/>
        </w:rPr>
        <w:t xml:space="preserve">   Highlights include increased activity by the team </w:t>
      </w:r>
      <w:r>
        <w:rPr>
          <w:rFonts w:cs="Arial"/>
          <w:noProof/>
          <w:sz w:val="22"/>
          <w:szCs w:val="22"/>
          <w:lang w:eastAsia="en-GB"/>
        </w:rPr>
        <w:t xml:space="preserve">across </w:t>
      </w:r>
      <w:r w:rsidR="009F0433">
        <w:rPr>
          <w:rFonts w:cs="Arial"/>
          <w:noProof/>
          <w:sz w:val="22"/>
          <w:szCs w:val="22"/>
          <w:lang w:eastAsia="en-GB"/>
        </w:rPr>
        <w:t xml:space="preserve">all areas </w:t>
      </w:r>
      <w:r>
        <w:rPr>
          <w:rFonts w:cs="Arial"/>
          <w:noProof/>
          <w:sz w:val="22"/>
          <w:szCs w:val="22"/>
          <w:lang w:eastAsia="en-GB"/>
        </w:rPr>
        <w:t xml:space="preserve">of the service </w:t>
      </w:r>
      <w:r w:rsidR="009F0433">
        <w:rPr>
          <w:rFonts w:cs="Arial"/>
          <w:noProof/>
          <w:sz w:val="22"/>
          <w:szCs w:val="22"/>
          <w:lang w:eastAsia="en-GB"/>
        </w:rPr>
        <w:t xml:space="preserve">with 4569 contacts in the past year.  </w:t>
      </w:r>
    </w:p>
    <w:p w14:paraId="4B03FB7B" w14:textId="43F62647" w:rsidR="009F0433" w:rsidRDefault="009F0433" w:rsidP="000D476B">
      <w:pPr>
        <w:spacing w:after="200"/>
        <w:jc w:val="both"/>
        <w:rPr>
          <w:rFonts w:cs="Arial"/>
          <w:noProof/>
          <w:sz w:val="22"/>
          <w:szCs w:val="22"/>
          <w:lang w:eastAsia="en-GB"/>
        </w:rPr>
      </w:pPr>
      <w:r>
        <w:rPr>
          <w:rFonts w:cs="Arial"/>
          <w:noProof/>
          <w:sz w:val="22"/>
          <w:szCs w:val="22"/>
          <w:lang w:eastAsia="en-GB"/>
        </w:rPr>
        <w:lastRenderedPageBreak/>
        <w:t>It has been highlighted that the service receiving the most complaints for 23/24 is the Maternity Assessment Suite at Chelsea and Westminster Hospital.</w:t>
      </w:r>
      <w:r w:rsidR="00AD63E7">
        <w:rPr>
          <w:rFonts w:cs="Arial"/>
          <w:noProof/>
          <w:sz w:val="22"/>
          <w:szCs w:val="22"/>
          <w:lang w:eastAsia="en-GB"/>
        </w:rPr>
        <w:t xml:space="preserve"> </w:t>
      </w:r>
    </w:p>
    <w:p w14:paraId="36DE8EF3" w14:textId="7FA487BD" w:rsidR="007D02D0" w:rsidRDefault="007D02D0" w:rsidP="000D476B">
      <w:pPr>
        <w:spacing w:after="200"/>
        <w:jc w:val="both"/>
        <w:rPr>
          <w:rFonts w:cs="Arial"/>
          <w:noProof/>
          <w:sz w:val="22"/>
          <w:szCs w:val="22"/>
          <w:lang w:eastAsia="en-GB"/>
        </w:rPr>
      </w:pPr>
      <w:r>
        <w:rPr>
          <w:rFonts w:cs="Arial"/>
          <w:noProof/>
          <w:sz w:val="22"/>
          <w:szCs w:val="22"/>
          <w:lang w:eastAsia="en-GB"/>
        </w:rPr>
        <w:t xml:space="preserve">Themes of complaints continue to be similar to previous years, in respect of communication, patient care and clinical treatment.  We have </w:t>
      </w:r>
      <w:r w:rsidR="00AD63E7">
        <w:rPr>
          <w:rFonts w:cs="Arial"/>
          <w:noProof/>
          <w:sz w:val="22"/>
          <w:szCs w:val="22"/>
          <w:lang w:eastAsia="en-GB"/>
        </w:rPr>
        <w:t xml:space="preserve">also </w:t>
      </w:r>
      <w:r>
        <w:rPr>
          <w:rFonts w:cs="Arial"/>
          <w:noProof/>
          <w:sz w:val="22"/>
          <w:szCs w:val="22"/>
          <w:lang w:eastAsia="en-GB"/>
        </w:rPr>
        <w:t>seen an uptick in the number of complaints about the values and behaviours of our staff, but these numbers remain low.</w:t>
      </w:r>
    </w:p>
    <w:p w14:paraId="7116D7A0" w14:textId="721C8225" w:rsidR="00AD63E7" w:rsidRDefault="00AD63E7" w:rsidP="000D476B">
      <w:pPr>
        <w:spacing w:after="200"/>
        <w:jc w:val="both"/>
        <w:rPr>
          <w:rFonts w:cs="Arial"/>
          <w:noProof/>
          <w:sz w:val="22"/>
          <w:szCs w:val="22"/>
          <w:lang w:eastAsia="en-GB"/>
        </w:rPr>
      </w:pPr>
      <w:r>
        <w:rPr>
          <w:rFonts w:cs="Arial"/>
          <w:noProof/>
          <w:sz w:val="22"/>
          <w:szCs w:val="22"/>
          <w:lang w:eastAsia="en-GB"/>
        </w:rPr>
        <w:t>Examples of learning from complaints are contained within the main report.</w:t>
      </w:r>
    </w:p>
    <w:p w14:paraId="4719491C" w14:textId="5167775A" w:rsidR="007D02D0" w:rsidRDefault="007D02D0" w:rsidP="000D476B">
      <w:pPr>
        <w:spacing w:after="200"/>
        <w:jc w:val="both"/>
        <w:rPr>
          <w:rFonts w:cs="Arial"/>
          <w:noProof/>
          <w:sz w:val="22"/>
          <w:szCs w:val="22"/>
          <w:lang w:eastAsia="en-GB"/>
        </w:rPr>
      </w:pPr>
      <w:r>
        <w:rPr>
          <w:rFonts w:cs="Arial"/>
          <w:noProof/>
          <w:sz w:val="22"/>
          <w:szCs w:val="22"/>
          <w:lang w:eastAsia="en-GB"/>
        </w:rPr>
        <w:t>The PHSO have taken on six complaints for investigation over the past year and there is a complaint ongoing which they began to investigate during the previous year.</w:t>
      </w:r>
    </w:p>
    <w:p w14:paraId="16EE2B49" w14:textId="06C198D6" w:rsidR="000D476B" w:rsidRDefault="000D476B" w:rsidP="000D476B">
      <w:pPr>
        <w:spacing w:after="200"/>
        <w:jc w:val="both"/>
        <w:rPr>
          <w:rFonts w:cs="Arial"/>
          <w:noProof/>
          <w:sz w:val="22"/>
          <w:szCs w:val="22"/>
          <w:lang w:eastAsia="en-GB"/>
        </w:rPr>
      </w:pPr>
      <w:r>
        <w:rPr>
          <w:rFonts w:cs="Arial"/>
          <w:noProof/>
          <w:sz w:val="22"/>
          <w:szCs w:val="22"/>
          <w:lang w:eastAsia="en-GB"/>
        </w:rPr>
        <w:t>The team’s focus for the year ahead is to recover the position with compliance with the complaints KPI so that we meet this every month.  It is also noted that compliance has not been met for the past two months with responding to PALS concerns within five working days – this has been attributed to staffing changes in the team and the position will recover during April 2024.</w:t>
      </w:r>
    </w:p>
    <w:p w14:paraId="0C490048" w14:textId="7E7C6C2B" w:rsidR="003147F0" w:rsidRDefault="003147F0" w:rsidP="000D476B">
      <w:pPr>
        <w:spacing w:after="200"/>
        <w:rPr>
          <w:rFonts w:cs="Arial"/>
          <w:noProof/>
          <w:sz w:val="22"/>
          <w:szCs w:val="22"/>
          <w:lang w:eastAsia="en-GB"/>
        </w:rPr>
      </w:pPr>
    </w:p>
    <w:p w14:paraId="29C32798" w14:textId="72F6EA57" w:rsidR="003147F0" w:rsidRDefault="003147F0" w:rsidP="000D476B">
      <w:pPr>
        <w:spacing w:after="200"/>
        <w:rPr>
          <w:rFonts w:cs="Arial"/>
          <w:noProof/>
          <w:sz w:val="22"/>
          <w:szCs w:val="22"/>
          <w:lang w:eastAsia="en-GB"/>
        </w:rPr>
      </w:pPr>
    </w:p>
    <w:p w14:paraId="6E8F6DEF" w14:textId="77777777" w:rsidR="003147F0" w:rsidRDefault="003147F0" w:rsidP="000D476B">
      <w:pPr>
        <w:spacing w:after="200"/>
        <w:rPr>
          <w:rFonts w:cs="Arial"/>
          <w:noProof/>
          <w:sz w:val="22"/>
          <w:szCs w:val="22"/>
          <w:lang w:eastAsia="en-GB"/>
        </w:rPr>
      </w:pPr>
    </w:p>
    <w:p w14:paraId="04DE0AC4" w14:textId="77777777" w:rsidR="009F0433" w:rsidRPr="009F0433" w:rsidRDefault="009F0433" w:rsidP="000D476B">
      <w:pPr>
        <w:spacing w:after="200"/>
        <w:rPr>
          <w:rFonts w:cs="Arial"/>
          <w:noProof/>
          <w:sz w:val="22"/>
          <w:szCs w:val="22"/>
          <w:lang w:eastAsia="en-GB"/>
        </w:rPr>
        <w:sectPr w:rsidR="009F0433" w:rsidRPr="009F0433" w:rsidSect="00BE4C3F">
          <w:footerReference w:type="default" r:id="rId11"/>
          <w:headerReference w:type="first" r:id="rId12"/>
          <w:footerReference w:type="first" r:id="rId13"/>
          <w:pgSz w:w="11906" w:h="16838"/>
          <w:pgMar w:top="1134" w:right="1134" w:bottom="1418" w:left="1134" w:header="567" w:footer="851" w:gutter="0"/>
          <w:cols w:space="708"/>
          <w:titlePg/>
          <w:docGrid w:linePitch="360"/>
        </w:sectPr>
      </w:pPr>
    </w:p>
    <w:p w14:paraId="7545E914" w14:textId="61A47364" w:rsidR="00BC7091" w:rsidRDefault="00BC7091" w:rsidP="00BC7091">
      <w:r>
        <w:rPr>
          <w:rFonts w:cs="Arial"/>
          <w:noProof/>
          <w:lang w:eastAsia="en-GB"/>
        </w:rPr>
        <w:lastRenderedPageBreak/>
        <w:drawing>
          <wp:anchor distT="0" distB="0" distL="114300" distR="114300" simplePos="0" relativeHeight="251663360" behindDoc="0" locked="0" layoutInCell="1" allowOverlap="1" wp14:anchorId="3A1F400B" wp14:editId="19DDECC7">
            <wp:simplePos x="0" y="0"/>
            <wp:positionH relativeFrom="margin">
              <wp:posOffset>-21265</wp:posOffset>
            </wp:positionH>
            <wp:positionV relativeFrom="paragraph">
              <wp:posOffset>547</wp:posOffset>
            </wp:positionV>
            <wp:extent cx="719847" cy="720445"/>
            <wp:effectExtent l="0" t="0" r="4445" b="3810"/>
            <wp:wrapSquare wrapText="bothSides"/>
            <wp:docPr id="45" name="Picture 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pic:nvPicPr>
                  <pic:blipFill>
                    <a:blip r:embed="rId14"/>
                    <a:stretch>
                      <a:fillRect/>
                    </a:stretch>
                  </pic:blipFill>
                  <pic:spPr>
                    <a:xfrm>
                      <a:off x="0" y="0"/>
                      <a:ext cx="719847" cy="720445"/>
                    </a:xfrm>
                    <a:prstGeom prst="rect">
                      <a:avLst/>
                    </a:prstGeom>
                  </pic:spPr>
                </pic:pic>
              </a:graphicData>
            </a:graphic>
            <wp14:sizeRelH relativeFrom="page">
              <wp14:pctWidth>0</wp14:pctWidth>
            </wp14:sizeRelH>
            <wp14:sizeRelV relativeFrom="page">
              <wp14:pctHeight>0</wp14:pctHeight>
            </wp14:sizeRelV>
          </wp:anchor>
        </w:drawing>
      </w:r>
      <w:r w:rsidRPr="00F940BD">
        <w:rPr>
          <w:b/>
          <w:bCs/>
        </w:rPr>
        <w:t xml:space="preserve">Strategic Objective One: </w:t>
      </w:r>
      <w:r w:rsidRPr="00BE22CD">
        <w:t>Involvement</w:t>
      </w:r>
      <w:r>
        <w:t>—</w:t>
      </w:r>
      <w:r w:rsidRPr="00F940BD">
        <w:t>“To promote the role and benefits of the public and patients shaping our services, and to develop new and innovative ways of working with you”</w:t>
      </w:r>
    </w:p>
    <w:p w14:paraId="160B9F73" w14:textId="77777777" w:rsidR="00BC7091" w:rsidRDefault="00BC7091" w:rsidP="00BC7091"/>
    <w:tbl>
      <w:tblPr>
        <w:tblStyle w:val="TableGrid"/>
        <w:tblW w:w="0" w:type="auto"/>
        <w:tblLook w:val="04A0" w:firstRow="1" w:lastRow="0" w:firstColumn="1" w:lastColumn="0" w:noHBand="0" w:noVBand="1"/>
      </w:tblPr>
      <w:tblGrid>
        <w:gridCol w:w="1610"/>
        <w:gridCol w:w="661"/>
        <w:gridCol w:w="3399"/>
        <w:gridCol w:w="2693"/>
        <w:gridCol w:w="3128"/>
        <w:gridCol w:w="2785"/>
      </w:tblGrid>
      <w:tr w:rsidR="0028509F" w14:paraId="6E7F906A" w14:textId="77777777" w:rsidTr="00E11680">
        <w:tc>
          <w:tcPr>
            <w:tcW w:w="14276" w:type="dxa"/>
            <w:gridSpan w:val="6"/>
          </w:tcPr>
          <w:p w14:paraId="56F0C9EE" w14:textId="36D7005D" w:rsidR="0028509F" w:rsidRDefault="0028509F" w:rsidP="00933259">
            <w:pPr>
              <w:jc w:val="center"/>
              <w:rPr>
                <w:rFonts w:cstheme="minorHAnsi"/>
                <w:b/>
                <w:sz w:val="20"/>
                <w:szCs w:val="20"/>
              </w:rPr>
            </w:pPr>
            <w:r>
              <w:rPr>
                <w:rFonts w:cstheme="minorHAnsi"/>
                <w:b/>
                <w:szCs w:val="20"/>
              </w:rPr>
              <w:t>Objective 1 - 2023-24 Forward Plan Actions</w:t>
            </w:r>
          </w:p>
        </w:tc>
      </w:tr>
      <w:tr w:rsidR="0028509F" w14:paraId="7A2B26CE" w14:textId="77777777" w:rsidTr="0028509F">
        <w:tc>
          <w:tcPr>
            <w:tcW w:w="1610" w:type="dxa"/>
          </w:tcPr>
          <w:p w14:paraId="2ED4345C" w14:textId="77777777" w:rsidR="0028509F" w:rsidRPr="007F775F" w:rsidRDefault="0028509F" w:rsidP="00933259">
            <w:pPr>
              <w:rPr>
                <w:rFonts w:cstheme="minorHAnsi"/>
                <w:b/>
                <w:sz w:val="20"/>
                <w:szCs w:val="20"/>
              </w:rPr>
            </w:pPr>
            <w:r>
              <w:rPr>
                <w:rFonts w:cstheme="minorHAnsi"/>
                <w:b/>
                <w:sz w:val="20"/>
                <w:szCs w:val="20"/>
              </w:rPr>
              <w:t>What did we say we would do?</w:t>
            </w:r>
          </w:p>
        </w:tc>
        <w:tc>
          <w:tcPr>
            <w:tcW w:w="653" w:type="dxa"/>
          </w:tcPr>
          <w:p w14:paraId="3AAEDFC4" w14:textId="3C55DC99" w:rsidR="0028509F" w:rsidRDefault="0028509F" w:rsidP="00933259">
            <w:pPr>
              <w:rPr>
                <w:rFonts w:cstheme="minorHAnsi"/>
                <w:b/>
                <w:sz w:val="20"/>
                <w:szCs w:val="20"/>
              </w:rPr>
            </w:pPr>
            <w:r>
              <w:rPr>
                <w:rFonts w:cstheme="minorHAnsi"/>
                <w:b/>
                <w:sz w:val="20"/>
                <w:szCs w:val="20"/>
              </w:rPr>
              <w:t>RAG</w:t>
            </w:r>
          </w:p>
        </w:tc>
        <w:tc>
          <w:tcPr>
            <w:tcW w:w="3402" w:type="dxa"/>
          </w:tcPr>
          <w:p w14:paraId="1DE97F05" w14:textId="3573E898" w:rsidR="0028509F" w:rsidRPr="007F775F" w:rsidRDefault="0028509F" w:rsidP="00933259">
            <w:pPr>
              <w:rPr>
                <w:rFonts w:cstheme="minorHAnsi"/>
                <w:b/>
                <w:sz w:val="20"/>
                <w:szCs w:val="20"/>
              </w:rPr>
            </w:pPr>
            <w:r>
              <w:rPr>
                <w:rFonts w:cstheme="minorHAnsi"/>
                <w:b/>
                <w:sz w:val="20"/>
                <w:szCs w:val="20"/>
              </w:rPr>
              <w:t>Q1, Q2 &amp; Q3 activities</w:t>
            </w:r>
          </w:p>
        </w:tc>
        <w:tc>
          <w:tcPr>
            <w:tcW w:w="2694" w:type="dxa"/>
          </w:tcPr>
          <w:p w14:paraId="21BAB53D" w14:textId="6E74AE01" w:rsidR="0028509F" w:rsidRDefault="0028509F" w:rsidP="00933259">
            <w:pPr>
              <w:rPr>
                <w:rFonts w:cstheme="minorHAnsi"/>
                <w:b/>
                <w:sz w:val="20"/>
                <w:szCs w:val="20"/>
              </w:rPr>
            </w:pPr>
            <w:r>
              <w:rPr>
                <w:rFonts w:cstheme="minorHAnsi"/>
                <w:b/>
                <w:sz w:val="20"/>
                <w:szCs w:val="20"/>
              </w:rPr>
              <w:t>Q4 – what have we done?</w:t>
            </w:r>
          </w:p>
        </w:tc>
        <w:tc>
          <w:tcPr>
            <w:tcW w:w="3131" w:type="dxa"/>
          </w:tcPr>
          <w:p w14:paraId="12C7B782" w14:textId="77777777" w:rsidR="0028509F" w:rsidRDefault="0028509F" w:rsidP="00933259">
            <w:pPr>
              <w:rPr>
                <w:rFonts w:cstheme="minorHAnsi"/>
                <w:b/>
                <w:sz w:val="20"/>
                <w:szCs w:val="20"/>
              </w:rPr>
            </w:pPr>
            <w:r>
              <w:rPr>
                <w:rFonts w:cstheme="minorHAnsi"/>
                <w:b/>
                <w:sz w:val="20"/>
                <w:szCs w:val="20"/>
              </w:rPr>
              <w:t>Impact</w:t>
            </w:r>
          </w:p>
        </w:tc>
        <w:tc>
          <w:tcPr>
            <w:tcW w:w="2786" w:type="dxa"/>
          </w:tcPr>
          <w:p w14:paraId="12D7C19C" w14:textId="77777777" w:rsidR="0028509F" w:rsidRPr="007F775F" w:rsidRDefault="0028509F" w:rsidP="00933259">
            <w:pPr>
              <w:rPr>
                <w:rFonts w:cstheme="minorHAnsi"/>
                <w:b/>
                <w:sz w:val="20"/>
                <w:szCs w:val="20"/>
              </w:rPr>
            </w:pPr>
            <w:r>
              <w:rPr>
                <w:rFonts w:cstheme="minorHAnsi"/>
                <w:b/>
                <w:sz w:val="20"/>
                <w:szCs w:val="20"/>
              </w:rPr>
              <w:t>Recommendations or risks</w:t>
            </w:r>
          </w:p>
        </w:tc>
      </w:tr>
      <w:tr w:rsidR="0028509F" w14:paraId="5B689A60" w14:textId="77777777" w:rsidTr="00B73D91">
        <w:tc>
          <w:tcPr>
            <w:tcW w:w="1610" w:type="dxa"/>
          </w:tcPr>
          <w:p w14:paraId="647CA252" w14:textId="77777777" w:rsidR="0028509F" w:rsidRPr="00703196" w:rsidRDefault="0028509F" w:rsidP="00933259">
            <w:pPr>
              <w:rPr>
                <w:rFonts w:cstheme="minorHAnsi"/>
                <w:sz w:val="20"/>
                <w:szCs w:val="20"/>
              </w:rPr>
            </w:pPr>
            <w:r>
              <w:rPr>
                <w:rFonts w:cstheme="minorHAnsi"/>
                <w:sz w:val="20"/>
                <w:szCs w:val="20"/>
              </w:rPr>
              <w:t>Review Patient and Public Engagement and Experience Group (PPEEG) Terms of Reference (ToR) and purpose</w:t>
            </w:r>
          </w:p>
        </w:tc>
        <w:tc>
          <w:tcPr>
            <w:tcW w:w="653" w:type="dxa"/>
            <w:shd w:val="clear" w:color="auto" w:fill="0070C0"/>
          </w:tcPr>
          <w:p w14:paraId="4E4F5235" w14:textId="77777777" w:rsidR="0028509F" w:rsidRDefault="0028509F" w:rsidP="00933259">
            <w:pPr>
              <w:rPr>
                <w:rFonts w:cstheme="minorHAnsi"/>
                <w:sz w:val="20"/>
                <w:szCs w:val="20"/>
              </w:rPr>
            </w:pPr>
          </w:p>
        </w:tc>
        <w:tc>
          <w:tcPr>
            <w:tcW w:w="3402" w:type="dxa"/>
          </w:tcPr>
          <w:p w14:paraId="1C6C1CCD" w14:textId="61CB4628" w:rsidR="0028509F" w:rsidRDefault="0028509F" w:rsidP="00933259">
            <w:pPr>
              <w:rPr>
                <w:rFonts w:cstheme="minorHAnsi"/>
                <w:sz w:val="20"/>
                <w:szCs w:val="20"/>
              </w:rPr>
            </w:pPr>
            <w:r>
              <w:rPr>
                <w:rFonts w:cstheme="minorHAnsi"/>
                <w:sz w:val="20"/>
                <w:szCs w:val="20"/>
              </w:rPr>
              <w:t>PPEEG agenda adapted based on group feedback to include patient stories, patient involvement, patient leaflets and you said we did</w:t>
            </w:r>
          </w:p>
          <w:p w14:paraId="73699FCC" w14:textId="77777777" w:rsidR="0028509F" w:rsidRPr="00703196" w:rsidRDefault="0028509F" w:rsidP="00FD3036">
            <w:pPr>
              <w:rPr>
                <w:rFonts w:cstheme="minorHAnsi"/>
                <w:sz w:val="20"/>
                <w:szCs w:val="20"/>
              </w:rPr>
            </w:pPr>
          </w:p>
        </w:tc>
        <w:tc>
          <w:tcPr>
            <w:tcW w:w="2694" w:type="dxa"/>
          </w:tcPr>
          <w:p w14:paraId="36244C2C" w14:textId="331B05DF" w:rsidR="0028509F" w:rsidRPr="00703196" w:rsidRDefault="0028509F" w:rsidP="00933259">
            <w:pPr>
              <w:rPr>
                <w:rFonts w:cstheme="minorHAnsi"/>
                <w:sz w:val="20"/>
                <w:szCs w:val="20"/>
              </w:rPr>
            </w:pPr>
            <w:r>
              <w:rPr>
                <w:rFonts w:cstheme="minorHAnsi"/>
                <w:sz w:val="20"/>
                <w:szCs w:val="20"/>
              </w:rPr>
              <w:t>Meeting occurring monthly and quorate</w:t>
            </w:r>
          </w:p>
        </w:tc>
        <w:tc>
          <w:tcPr>
            <w:tcW w:w="3131" w:type="dxa"/>
          </w:tcPr>
          <w:p w14:paraId="547C01E5" w14:textId="74939E80" w:rsidR="0028509F" w:rsidRDefault="0028509F" w:rsidP="00933259">
            <w:pPr>
              <w:rPr>
                <w:rFonts w:cstheme="minorHAnsi"/>
                <w:sz w:val="20"/>
                <w:szCs w:val="20"/>
              </w:rPr>
            </w:pPr>
            <w:r>
              <w:rPr>
                <w:rFonts w:cstheme="minorHAnsi"/>
                <w:sz w:val="20"/>
                <w:szCs w:val="20"/>
              </w:rPr>
              <w:t>Patient stories have given a deeper insight into the quantitative metrics shared during the meeting</w:t>
            </w:r>
          </w:p>
          <w:p w14:paraId="34619751" w14:textId="77777777" w:rsidR="0028509F" w:rsidRPr="00703196" w:rsidRDefault="0028509F" w:rsidP="00933259">
            <w:pPr>
              <w:rPr>
                <w:rFonts w:cstheme="minorHAnsi"/>
                <w:sz w:val="20"/>
                <w:szCs w:val="20"/>
              </w:rPr>
            </w:pPr>
            <w:r>
              <w:rPr>
                <w:rFonts w:cstheme="minorHAnsi"/>
                <w:sz w:val="20"/>
                <w:szCs w:val="20"/>
              </w:rPr>
              <w:t>Patient involvement as an agenda item has helped divisions demonstrate outcomes of effective engagement and started to positively impact culture of the organisation with to how we consider involving patient in projects</w:t>
            </w:r>
          </w:p>
        </w:tc>
        <w:tc>
          <w:tcPr>
            <w:tcW w:w="2786" w:type="dxa"/>
            <w:shd w:val="clear" w:color="auto" w:fill="auto"/>
          </w:tcPr>
          <w:p w14:paraId="2A7A1554" w14:textId="7953676F" w:rsidR="0028509F" w:rsidRPr="00612823" w:rsidRDefault="0028509F" w:rsidP="00933259">
            <w:pPr>
              <w:rPr>
                <w:rFonts w:cstheme="minorHAnsi"/>
                <w:sz w:val="20"/>
                <w:szCs w:val="20"/>
              </w:rPr>
            </w:pPr>
            <w:r w:rsidRPr="00612823">
              <w:rPr>
                <w:rFonts w:cstheme="minorHAnsi"/>
                <w:sz w:val="20"/>
                <w:szCs w:val="20"/>
              </w:rPr>
              <w:t>Annual review of PPEEG ToR and effectiveness</w:t>
            </w:r>
          </w:p>
          <w:p w14:paraId="2890F08A" w14:textId="77777777" w:rsidR="0028509F" w:rsidRPr="00933259" w:rsidRDefault="0028509F" w:rsidP="00933259">
            <w:pPr>
              <w:rPr>
                <w:rFonts w:cstheme="minorHAnsi"/>
                <w:sz w:val="20"/>
                <w:szCs w:val="20"/>
                <w:highlight w:val="yellow"/>
              </w:rPr>
            </w:pPr>
          </w:p>
        </w:tc>
      </w:tr>
      <w:tr w:rsidR="0028509F" w14:paraId="6398BE22" w14:textId="77777777" w:rsidTr="00B73D91">
        <w:trPr>
          <w:trHeight w:val="1145"/>
        </w:trPr>
        <w:tc>
          <w:tcPr>
            <w:tcW w:w="1610" w:type="dxa"/>
          </w:tcPr>
          <w:p w14:paraId="56F73036" w14:textId="77777777" w:rsidR="0028509F" w:rsidRPr="00703196" w:rsidRDefault="0028509F" w:rsidP="00933259">
            <w:pPr>
              <w:rPr>
                <w:rFonts w:cstheme="minorHAnsi"/>
                <w:sz w:val="20"/>
                <w:szCs w:val="20"/>
              </w:rPr>
            </w:pPr>
            <w:r w:rsidRPr="00703196">
              <w:rPr>
                <w:rFonts w:cstheme="minorHAnsi"/>
                <w:sz w:val="20"/>
                <w:szCs w:val="20"/>
              </w:rPr>
              <w:t xml:space="preserve">Create a process for user involvement </w:t>
            </w:r>
          </w:p>
        </w:tc>
        <w:tc>
          <w:tcPr>
            <w:tcW w:w="653" w:type="dxa"/>
            <w:shd w:val="clear" w:color="auto" w:fill="FFC000"/>
          </w:tcPr>
          <w:p w14:paraId="445D4B30" w14:textId="77777777" w:rsidR="0028509F" w:rsidRDefault="0028509F" w:rsidP="00933259">
            <w:pPr>
              <w:rPr>
                <w:rFonts w:cstheme="minorHAnsi"/>
                <w:sz w:val="20"/>
                <w:szCs w:val="20"/>
              </w:rPr>
            </w:pPr>
          </w:p>
        </w:tc>
        <w:tc>
          <w:tcPr>
            <w:tcW w:w="3402" w:type="dxa"/>
          </w:tcPr>
          <w:p w14:paraId="7C4B613A" w14:textId="5411A7C0" w:rsidR="0028509F" w:rsidRPr="00703196" w:rsidRDefault="0028509F" w:rsidP="00933259">
            <w:pPr>
              <w:rPr>
                <w:rFonts w:cstheme="minorHAnsi"/>
                <w:sz w:val="20"/>
                <w:szCs w:val="20"/>
              </w:rPr>
            </w:pPr>
            <w:r>
              <w:rPr>
                <w:rFonts w:cstheme="minorHAnsi"/>
                <w:sz w:val="20"/>
                <w:szCs w:val="20"/>
              </w:rPr>
              <w:t>Patient involvement charter developed, with feedback and involvement from patients and staff. Charter approved by senior nursing cabinet and PPEEG</w:t>
            </w:r>
          </w:p>
        </w:tc>
        <w:tc>
          <w:tcPr>
            <w:tcW w:w="2694" w:type="dxa"/>
          </w:tcPr>
          <w:p w14:paraId="72DDE67A" w14:textId="63802897" w:rsidR="0028509F" w:rsidRPr="00703196" w:rsidRDefault="0028509F" w:rsidP="003979E5">
            <w:pPr>
              <w:rPr>
                <w:rFonts w:cstheme="minorHAnsi"/>
                <w:sz w:val="20"/>
                <w:szCs w:val="20"/>
              </w:rPr>
            </w:pPr>
            <w:r>
              <w:rPr>
                <w:rFonts w:cstheme="minorHAnsi"/>
                <w:sz w:val="20"/>
                <w:szCs w:val="20"/>
              </w:rPr>
              <w:t>Explore and agree the remuneration process of patient involvement</w:t>
            </w:r>
          </w:p>
        </w:tc>
        <w:tc>
          <w:tcPr>
            <w:tcW w:w="3131" w:type="dxa"/>
          </w:tcPr>
          <w:p w14:paraId="45DFD2A0" w14:textId="78A082CC" w:rsidR="0028509F" w:rsidRPr="00703196" w:rsidRDefault="0028509F" w:rsidP="003979E5">
            <w:pPr>
              <w:rPr>
                <w:rFonts w:cstheme="minorHAnsi"/>
                <w:sz w:val="20"/>
                <w:szCs w:val="20"/>
              </w:rPr>
            </w:pPr>
            <w:r>
              <w:rPr>
                <w:rFonts w:cstheme="minorHAnsi"/>
                <w:sz w:val="20"/>
                <w:szCs w:val="20"/>
              </w:rPr>
              <w:t>To be determined once charter has been approved</w:t>
            </w:r>
          </w:p>
        </w:tc>
        <w:tc>
          <w:tcPr>
            <w:tcW w:w="2786" w:type="dxa"/>
          </w:tcPr>
          <w:p w14:paraId="0CAAFB16" w14:textId="77777777" w:rsidR="0028509F" w:rsidRDefault="0028509F" w:rsidP="003979E5">
            <w:pPr>
              <w:spacing w:after="0"/>
              <w:rPr>
                <w:rFonts w:cstheme="minorHAnsi"/>
                <w:sz w:val="20"/>
                <w:szCs w:val="20"/>
              </w:rPr>
            </w:pPr>
            <w:r>
              <w:rPr>
                <w:rFonts w:cstheme="minorHAnsi"/>
                <w:sz w:val="20"/>
                <w:szCs w:val="20"/>
              </w:rPr>
              <w:t>24-25 focus will be to agree remuneration process and pilot this charter over the year</w:t>
            </w:r>
          </w:p>
          <w:p w14:paraId="51ABDB35" w14:textId="77777777" w:rsidR="0028509F" w:rsidRDefault="0028509F" w:rsidP="003979E5">
            <w:pPr>
              <w:spacing w:after="0"/>
              <w:rPr>
                <w:rFonts w:cstheme="minorHAnsi"/>
                <w:sz w:val="20"/>
                <w:szCs w:val="20"/>
              </w:rPr>
            </w:pPr>
          </w:p>
          <w:p w14:paraId="1D65C08E" w14:textId="3F9C6A8D" w:rsidR="0028509F" w:rsidRPr="00B848FD" w:rsidRDefault="0028509F" w:rsidP="009768C5">
            <w:pPr>
              <w:spacing w:after="0"/>
              <w:rPr>
                <w:rFonts w:cstheme="minorHAnsi"/>
                <w:sz w:val="20"/>
                <w:szCs w:val="20"/>
              </w:rPr>
            </w:pPr>
            <w:r>
              <w:rPr>
                <w:rFonts w:cstheme="minorHAnsi"/>
                <w:b/>
                <w:sz w:val="20"/>
                <w:szCs w:val="20"/>
              </w:rPr>
              <w:lastRenderedPageBreak/>
              <w:t xml:space="preserve">Risk – </w:t>
            </w:r>
            <w:r>
              <w:rPr>
                <w:rFonts w:cstheme="minorHAnsi"/>
                <w:sz w:val="20"/>
                <w:szCs w:val="20"/>
              </w:rPr>
              <w:t xml:space="preserve">without a standardised approach, the trust will continue to have inconsistencies in involving patients and reporting on involvement activities. The lack of a clear remuneration over involvement will continue to act as a barrier to some more diverse groups getting involved in trust improvement work </w:t>
            </w:r>
          </w:p>
        </w:tc>
      </w:tr>
      <w:tr w:rsidR="0028509F" w14:paraId="551131F4" w14:textId="77777777" w:rsidTr="00E11680">
        <w:tc>
          <w:tcPr>
            <w:tcW w:w="14276" w:type="dxa"/>
            <w:gridSpan w:val="6"/>
          </w:tcPr>
          <w:p w14:paraId="75C3012E" w14:textId="4A1A537E" w:rsidR="0028509F" w:rsidRPr="00956DA8" w:rsidRDefault="0028509F" w:rsidP="00933259">
            <w:pPr>
              <w:jc w:val="center"/>
              <w:rPr>
                <w:rFonts w:cstheme="minorHAnsi"/>
                <w:b/>
                <w:szCs w:val="20"/>
              </w:rPr>
            </w:pPr>
            <w:r w:rsidRPr="00956DA8">
              <w:rPr>
                <w:rFonts w:cstheme="minorHAnsi"/>
                <w:b/>
                <w:szCs w:val="20"/>
              </w:rPr>
              <w:lastRenderedPageBreak/>
              <w:t>Other Activities</w:t>
            </w:r>
          </w:p>
        </w:tc>
      </w:tr>
      <w:tr w:rsidR="0028509F" w14:paraId="5F2B3D02" w14:textId="77777777" w:rsidTr="0028509F">
        <w:tc>
          <w:tcPr>
            <w:tcW w:w="1610" w:type="dxa"/>
          </w:tcPr>
          <w:p w14:paraId="0FB63B61" w14:textId="77777777" w:rsidR="0028509F" w:rsidRPr="007F775F" w:rsidRDefault="0028509F" w:rsidP="00933259">
            <w:pPr>
              <w:rPr>
                <w:rFonts w:cstheme="minorHAnsi"/>
                <w:b/>
                <w:sz w:val="20"/>
                <w:szCs w:val="20"/>
              </w:rPr>
            </w:pPr>
            <w:r>
              <w:rPr>
                <w:rFonts w:cstheme="minorHAnsi"/>
                <w:b/>
                <w:sz w:val="20"/>
                <w:szCs w:val="20"/>
              </w:rPr>
              <w:t>What did we say we would do?</w:t>
            </w:r>
          </w:p>
        </w:tc>
        <w:tc>
          <w:tcPr>
            <w:tcW w:w="653" w:type="dxa"/>
          </w:tcPr>
          <w:p w14:paraId="74E7AFED" w14:textId="4E784E8D" w:rsidR="0028509F" w:rsidRDefault="00B73D91" w:rsidP="00933259">
            <w:pPr>
              <w:rPr>
                <w:rFonts w:cstheme="minorHAnsi"/>
                <w:b/>
                <w:sz w:val="20"/>
                <w:szCs w:val="20"/>
              </w:rPr>
            </w:pPr>
            <w:r>
              <w:rPr>
                <w:rFonts w:cstheme="minorHAnsi"/>
                <w:b/>
                <w:sz w:val="20"/>
                <w:szCs w:val="20"/>
              </w:rPr>
              <w:t>RAG</w:t>
            </w:r>
          </w:p>
        </w:tc>
        <w:tc>
          <w:tcPr>
            <w:tcW w:w="3402" w:type="dxa"/>
          </w:tcPr>
          <w:p w14:paraId="5D10B4A1" w14:textId="371D2A2C" w:rsidR="0028509F" w:rsidRPr="007F775F" w:rsidRDefault="0028509F" w:rsidP="00933259">
            <w:pPr>
              <w:rPr>
                <w:rFonts w:cstheme="minorHAnsi"/>
                <w:b/>
                <w:sz w:val="20"/>
                <w:szCs w:val="20"/>
              </w:rPr>
            </w:pPr>
            <w:r>
              <w:rPr>
                <w:rFonts w:cstheme="minorHAnsi"/>
                <w:b/>
                <w:sz w:val="20"/>
                <w:szCs w:val="20"/>
              </w:rPr>
              <w:t>Q1, Q2 &amp; Q3 activities</w:t>
            </w:r>
          </w:p>
        </w:tc>
        <w:tc>
          <w:tcPr>
            <w:tcW w:w="2694" w:type="dxa"/>
          </w:tcPr>
          <w:p w14:paraId="64EE6DC3" w14:textId="111034FE" w:rsidR="0028509F" w:rsidRDefault="0028509F" w:rsidP="00933259">
            <w:pPr>
              <w:rPr>
                <w:rFonts w:cstheme="minorHAnsi"/>
                <w:b/>
                <w:sz w:val="20"/>
                <w:szCs w:val="20"/>
              </w:rPr>
            </w:pPr>
            <w:r>
              <w:rPr>
                <w:rFonts w:cstheme="minorHAnsi"/>
                <w:b/>
                <w:sz w:val="20"/>
                <w:szCs w:val="20"/>
              </w:rPr>
              <w:t>Q4 – what have we done?</w:t>
            </w:r>
          </w:p>
        </w:tc>
        <w:tc>
          <w:tcPr>
            <w:tcW w:w="3131" w:type="dxa"/>
          </w:tcPr>
          <w:p w14:paraId="29F5B38C" w14:textId="77777777" w:rsidR="0028509F" w:rsidRDefault="0028509F" w:rsidP="00933259">
            <w:pPr>
              <w:rPr>
                <w:rFonts w:cstheme="minorHAnsi"/>
                <w:b/>
                <w:sz w:val="20"/>
                <w:szCs w:val="20"/>
              </w:rPr>
            </w:pPr>
            <w:r>
              <w:rPr>
                <w:rFonts w:cstheme="minorHAnsi"/>
                <w:b/>
                <w:sz w:val="20"/>
                <w:szCs w:val="20"/>
              </w:rPr>
              <w:t>Impact</w:t>
            </w:r>
          </w:p>
        </w:tc>
        <w:tc>
          <w:tcPr>
            <w:tcW w:w="2786" w:type="dxa"/>
          </w:tcPr>
          <w:p w14:paraId="51F5D64E" w14:textId="77777777" w:rsidR="0028509F" w:rsidRPr="007F775F" w:rsidRDefault="0028509F" w:rsidP="00933259">
            <w:pPr>
              <w:rPr>
                <w:rFonts w:cstheme="minorHAnsi"/>
                <w:b/>
                <w:sz w:val="20"/>
                <w:szCs w:val="20"/>
              </w:rPr>
            </w:pPr>
            <w:r>
              <w:rPr>
                <w:rFonts w:cstheme="minorHAnsi"/>
                <w:b/>
                <w:sz w:val="20"/>
                <w:szCs w:val="20"/>
              </w:rPr>
              <w:t>Recommendations or risks</w:t>
            </w:r>
          </w:p>
        </w:tc>
      </w:tr>
      <w:tr w:rsidR="0028509F" w14:paraId="4CD0CE22" w14:textId="77777777" w:rsidTr="00B73D91">
        <w:tc>
          <w:tcPr>
            <w:tcW w:w="1610" w:type="dxa"/>
          </w:tcPr>
          <w:p w14:paraId="18D06B4B" w14:textId="77777777" w:rsidR="0028509F" w:rsidRDefault="0028509F" w:rsidP="00933259">
            <w:pPr>
              <w:rPr>
                <w:rFonts w:cstheme="minorHAnsi"/>
                <w:sz w:val="20"/>
                <w:szCs w:val="20"/>
              </w:rPr>
            </w:pPr>
            <w:r>
              <w:rPr>
                <w:rFonts w:cstheme="minorHAnsi"/>
                <w:sz w:val="20"/>
                <w:szCs w:val="20"/>
              </w:rPr>
              <w:t>Get more involved with local partners, communities and residents</w:t>
            </w:r>
          </w:p>
        </w:tc>
        <w:tc>
          <w:tcPr>
            <w:tcW w:w="653" w:type="dxa"/>
            <w:shd w:val="clear" w:color="auto" w:fill="92D050"/>
          </w:tcPr>
          <w:p w14:paraId="12A30261" w14:textId="77777777" w:rsidR="0028509F" w:rsidRDefault="0028509F" w:rsidP="00933259">
            <w:pPr>
              <w:rPr>
                <w:rFonts w:cstheme="minorHAnsi"/>
                <w:sz w:val="20"/>
                <w:szCs w:val="20"/>
              </w:rPr>
            </w:pPr>
          </w:p>
        </w:tc>
        <w:tc>
          <w:tcPr>
            <w:tcW w:w="3402" w:type="dxa"/>
          </w:tcPr>
          <w:p w14:paraId="0EB0CF80" w14:textId="7754FE0C" w:rsidR="0028509F" w:rsidRDefault="0028509F" w:rsidP="00933259">
            <w:pPr>
              <w:rPr>
                <w:rFonts w:cstheme="minorHAnsi"/>
                <w:sz w:val="20"/>
                <w:szCs w:val="20"/>
              </w:rPr>
            </w:pPr>
            <w:r>
              <w:rPr>
                <w:rFonts w:cstheme="minorHAnsi"/>
                <w:sz w:val="20"/>
                <w:szCs w:val="20"/>
              </w:rPr>
              <w:t>Ad-hoc and regular engagement activities across both hospital sites with health and social care partners, local community groups and patient representatives.</w:t>
            </w:r>
          </w:p>
          <w:p w14:paraId="37EB32BC" w14:textId="77777777" w:rsidR="0028509F" w:rsidRDefault="0028509F" w:rsidP="00933259">
            <w:pPr>
              <w:rPr>
                <w:rFonts w:cstheme="minorHAnsi"/>
                <w:sz w:val="20"/>
                <w:szCs w:val="20"/>
              </w:rPr>
            </w:pPr>
            <w:r>
              <w:rPr>
                <w:rFonts w:cstheme="minorHAnsi"/>
                <w:sz w:val="20"/>
                <w:szCs w:val="20"/>
              </w:rPr>
              <w:t>Support services in setting up local patient forums, such as Hand Therapy and Endoscopy.</w:t>
            </w:r>
          </w:p>
          <w:p w14:paraId="26F325BC" w14:textId="00B70E41" w:rsidR="0028509F" w:rsidRDefault="0028509F" w:rsidP="00933259">
            <w:pPr>
              <w:rPr>
                <w:sz w:val="20"/>
              </w:rPr>
            </w:pPr>
            <w:r>
              <w:rPr>
                <w:sz w:val="20"/>
              </w:rPr>
              <w:t xml:space="preserve">National Patient Led Assessments of the Care Environment (PLACE) undertaken in October 2023. 20+ patient representatives supported across both sites. </w:t>
            </w:r>
          </w:p>
          <w:p w14:paraId="58FB6B13" w14:textId="264CBE98" w:rsidR="0028509F" w:rsidRDefault="0028509F" w:rsidP="00933259">
            <w:pPr>
              <w:rPr>
                <w:sz w:val="20"/>
              </w:rPr>
            </w:pPr>
            <w:r>
              <w:rPr>
                <w:sz w:val="20"/>
              </w:rPr>
              <w:t>Continue to support services with local engagement initiatives.</w:t>
            </w:r>
          </w:p>
          <w:p w14:paraId="51F6B6E1" w14:textId="77777777" w:rsidR="0028509F" w:rsidRPr="001E1908" w:rsidRDefault="0028509F" w:rsidP="00933259">
            <w:pPr>
              <w:rPr>
                <w:sz w:val="20"/>
              </w:rPr>
            </w:pPr>
            <w:r>
              <w:rPr>
                <w:sz w:val="20"/>
              </w:rPr>
              <w:t xml:space="preserve">More collaborative working with Communications team to </w:t>
            </w:r>
            <w:r>
              <w:rPr>
                <w:sz w:val="20"/>
              </w:rPr>
              <w:lastRenderedPageBreak/>
              <w:t>triangulation engagement work across the boroughs.</w:t>
            </w:r>
          </w:p>
          <w:p w14:paraId="69388556" w14:textId="77777777" w:rsidR="0028509F" w:rsidRDefault="0028509F" w:rsidP="00933259">
            <w:pPr>
              <w:rPr>
                <w:sz w:val="20"/>
              </w:rPr>
            </w:pPr>
          </w:p>
          <w:p w14:paraId="30151E45" w14:textId="508C782D" w:rsidR="0028509F" w:rsidRPr="001E1908" w:rsidRDefault="0028509F" w:rsidP="00933259">
            <w:pPr>
              <w:rPr>
                <w:rFonts w:cstheme="minorHAnsi"/>
                <w:sz w:val="20"/>
                <w:szCs w:val="20"/>
              </w:rPr>
            </w:pPr>
          </w:p>
        </w:tc>
        <w:tc>
          <w:tcPr>
            <w:tcW w:w="2694" w:type="dxa"/>
          </w:tcPr>
          <w:p w14:paraId="5733A16D" w14:textId="77777777" w:rsidR="0028509F" w:rsidRDefault="0028509F" w:rsidP="00933259">
            <w:pPr>
              <w:rPr>
                <w:sz w:val="20"/>
              </w:rPr>
            </w:pPr>
            <w:r>
              <w:rPr>
                <w:sz w:val="20"/>
              </w:rPr>
              <w:lastRenderedPageBreak/>
              <w:t xml:space="preserve">Continued to engage regularly with external stakeholders and partners. </w:t>
            </w:r>
          </w:p>
          <w:p w14:paraId="55A94CFE" w14:textId="3605BD11" w:rsidR="0028509F" w:rsidRDefault="0028509F" w:rsidP="00933259">
            <w:pPr>
              <w:rPr>
                <w:sz w:val="20"/>
              </w:rPr>
            </w:pPr>
            <w:r>
              <w:rPr>
                <w:sz w:val="20"/>
              </w:rPr>
              <w:t>Example activities:</w:t>
            </w:r>
          </w:p>
          <w:p w14:paraId="1532FC83" w14:textId="5A9C2943" w:rsidR="0028509F" w:rsidRDefault="0028509F" w:rsidP="004540A7">
            <w:pPr>
              <w:pStyle w:val="ListParagraph"/>
              <w:numPr>
                <w:ilvl w:val="0"/>
                <w:numId w:val="8"/>
              </w:numPr>
              <w:ind w:left="360"/>
              <w:rPr>
                <w:sz w:val="20"/>
              </w:rPr>
            </w:pPr>
            <w:r>
              <w:rPr>
                <w:sz w:val="20"/>
              </w:rPr>
              <w:t xml:space="preserve">Isleworth Health roadshow </w:t>
            </w:r>
          </w:p>
          <w:p w14:paraId="33E7C6EF" w14:textId="588467E7" w:rsidR="0028509F" w:rsidRDefault="0028509F" w:rsidP="004540A7">
            <w:pPr>
              <w:pStyle w:val="ListParagraph"/>
              <w:numPr>
                <w:ilvl w:val="0"/>
                <w:numId w:val="8"/>
              </w:numPr>
              <w:ind w:left="360"/>
              <w:rPr>
                <w:sz w:val="20"/>
              </w:rPr>
            </w:pPr>
            <w:r>
              <w:rPr>
                <w:sz w:val="20"/>
              </w:rPr>
              <w:t>Hounslow Borough Based Partnership (BBP) in February and March – the latter date was to discuss the trust’s strategy and priorities, and ascertain patient and public feedback on these</w:t>
            </w:r>
          </w:p>
          <w:p w14:paraId="2BE38B2E" w14:textId="1B7CAB0A" w:rsidR="0028509F" w:rsidRDefault="0028509F" w:rsidP="004540A7">
            <w:pPr>
              <w:pStyle w:val="ListParagraph"/>
              <w:numPr>
                <w:ilvl w:val="0"/>
                <w:numId w:val="8"/>
              </w:numPr>
              <w:ind w:left="360"/>
              <w:rPr>
                <w:sz w:val="20"/>
              </w:rPr>
            </w:pPr>
            <w:r>
              <w:rPr>
                <w:sz w:val="20"/>
              </w:rPr>
              <w:t>Women’s health event hosted in the trust on 9</w:t>
            </w:r>
            <w:r w:rsidRPr="00CF5049">
              <w:rPr>
                <w:sz w:val="20"/>
                <w:vertAlign w:val="superscript"/>
              </w:rPr>
              <w:t>th</w:t>
            </w:r>
            <w:r>
              <w:rPr>
                <w:sz w:val="20"/>
              </w:rPr>
              <w:t xml:space="preserve"> March</w:t>
            </w:r>
          </w:p>
          <w:p w14:paraId="18BA51BD" w14:textId="6E5C596E" w:rsidR="0028509F" w:rsidRDefault="0028509F" w:rsidP="004540A7">
            <w:pPr>
              <w:pStyle w:val="ListParagraph"/>
              <w:numPr>
                <w:ilvl w:val="0"/>
                <w:numId w:val="8"/>
              </w:numPr>
              <w:ind w:left="360"/>
              <w:rPr>
                <w:sz w:val="20"/>
              </w:rPr>
            </w:pPr>
            <w:r>
              <w:rPr>
                <w:sz w:val="20"/>
              </w:rPr>
              <w:lastRenderedPageBreak/>
              <w:t>Community based women’s health event 16</w:t>
            </w:r>
            <w:r w:rsidRPr="00CF5049">
              <w:rPr>
                <w:sz w:val="20"/>
                <w:vertAlign w:val="superscript"/>
              </w:rPr>
              <w:t>th</w:t>
            </w:r>
            <w:r>
              <w:rPr>
                <w:sz w:val="20"/>
              </w:rPr>
              <w:t xml:space="preserve"> March</w:t>
            </w:r>
          </w:p>
          <w:p w14:paraId="7C69AFA3" w14:textId="77777777" w:rsidR="0028509F" w:rsidRDefault="0028509F" w:rsidP="004540A7">
            <w:pPr>
              <w:pStyle w:val="ListParagraph"/>
              <w:numPr>
                <w:ilvl w:val="0"/>
                <w:numId w:val="8"/>
              </w:numPr>
              <w:ind w:left="360"/>
              <w:rPr>
                <w:sz w:val="20"/>
              </w:rPr>
            </w:pPr>
            <w:r>
              <w:rPr>
                <w:sz w:val="20"/>
              </w:rPr>
              <w:t>Youth forum restart. Good engagement at West Middlesex with 5 young people attending the first forum in February, sharing ideas on improving care</w:t>
            </w:r>
          </w:p>
          <w:p w14:paraId="051A6171" w14:textId="77777777" w:rsidR="0028509F" w:rsidRDefault="0028509F" w:rsidP="004540A7">
            <w:pPr>
              <w:pStyle w:val="ListParagraph"/>
              <w:numPr>
                <w:ilvl w:val="0"/>
                <w:numId w:val="8"/>
              </w:numPr>
              <w:ind w:left="360"/>
              <w:rPr>
                <w:sz w:val="20"/>
              </w:rPr>
            </w:pPr>
            <w:r>
              <w:rPr>
                <w:sz w:val="20"/>
              </w:rPr>
              <w:t>PLACElite assessments in February cross site. Good representation for external partners.</w:t>
            </w:r>
          </w:p>
          <w:p w14:paraId="3FDA507D" w14:textId="77777777" w:rsidR="0028509F" w:rsidRDefault="0028509F" w:rsidP="004540A7">
            <w:pPr>
              <w:pStyle w:val="ListParagraph"/>
              <w:numPr>
                <w:ilvl w:val="0"/>
                <w:numId w:val="8"/>
              </w:numPr>
              <w:ind w:left="360"/>
              <w:rPr>
                <w:sz w:val="20"/>
              </w:rPr>
            </w:pPr>
            <w:r>
              <w:rPr>
                <w:sz w:val="20"/>
              </w:rPr>
              <w:t>External survey to residents asking for feedback on trust strategy and priorities</w:t>
            </w:r>
          </w:p>
          <w:p w14:paraId="3ADC47D0" w14:textId="511D26C3" w:rsidR="0028509F" w:rsidRPr="00CF5049" w:rsidRDefault="0028509F" w:rsidP="004540A7">
            <w:pPr>
              <w:pStyle w:val="ListParagraph"/>
              <w:numPr>
                <w:ilvl w:val="0"/>
                <w:numId w:val="8"/>
              </w:numPr>
              <w:ind w:left="360"/>
              <w:rPr>
                <w:sz w:val="20"/>
              </w:rPr>
            </w:pPr>
            <w:r>
              <w:rPr>
                <w:sz w:val="20"/>
              </w:rPr>
              <w:t>Ambulatory Diagnostic Centre engagement event, listening to resident feedback in March</w:t>
            </w:r>
          </w:p>
        </w:tc>
        <w:tc>
          <w:tcPr>
            <w:tcW w:w="3131" w:type="dxa"/>
          </w:tcPr>
          <w:p w14:paraId="2FBBCE61" w14:textId="77777777" w:rsidR="0028509F" w:rsidRPr="001E1908" w:rsidRDefault="0028509F" w:rsidP="00933259">
            <w:pPr>
              <w:rPr>
                <w:rFonts w:cstheme="minorHAnsi"/>
                <w:sz w:val="20"/>
                <w:szCs w:val="20"/>
              </w:rPr>
            </w:pPr>
            <w:r>
              <w:rPr>
                <w:rFonts w:cstheme="minorHAnsi"/>
                <w:sz w:val="20"/>
                <w:szCs w:val="20"/>
              </w:rPr>
              <w:lastRenderedPageBreak/>
              <w:t>Increase quality of care provided in certain areas and identify new ways of working or other improvements to the hospital services</w:t>
            </w:r>
          </w:p>
        </w:tc>
        <w:tc>
          <w:tcPr>
            <w:tcW w:w="2786" w:type="dxa"/>
          </w:tcPr>
          <w:p w14:paraId="52E93495" w14:textId="00F88502" w:rsidR="0028509F" w:rsidRDefault="0028509F" w:rsidP="00933259">
            <w:pPr>
              <w:rPr>
                <w:rFonts w:cstheme="minorHAnsi"/>
                <w:sz w:val="20"/>
                <w:szCs w:val="20"/>
              </w:rPr>
            </w:pPr>
            <w:r>
              <w:rPr>
                <w:rFonts w:cstheme="minorHAnsi"/>
                <w:sz w:val="20"/>
                <w:szCs w:val="20"/>
              </w:rPr>
              <w:t>Continue to build on current relationships and identify new potential partners</w:t>
            </w:r>
          </w:p>
          <w:p w14:paraId="591359BE" w14:textId="24F1882D" w:rsidR="0028509F" w:rsidRDefault="0028509F" w:rsidP="00933259">
            <w:pPr>
              <w:rPr>
                <w:rFonts w:cstheme="minorHAnsi"/>
                <w:sz w:val="20"/>
                <w:szCs w:val="20"/>
              </w:rPr>
            </w:pPr>
            <w:r>
              <w:rPr>
                <w:rFonts w:cstheme="minorHAnsi"/>
                <w:sz w:val="20"/>
                <w:szCs w:val="20"/>
              </w:rPr>
              <w:t>Continue to capture and report on engagement activity and the subsequent impact of this</w:t>
            </w:r>
          </w:p>
          <w:p w14:paraId="5EEC2CD3" w14:textId="10F11CF2" w:rsidR="0028509F" w:rsidRPr="00CF5049" w:rsidRDefault="0028509F" w:rsidP="00CF5049">
            <w:pPr>
              <w:rPr>
                <w:rFonts w:cstheme="minorHAnsi"/>
                <w:b/>
                <w:sz w:val="20"/>
                <w:szCs w:val="20"/>
              </w:rPr>
            </w:pPr>
            <w:r>
              <w:rPr>
                <w:rFonts w:cstheme="minorHAnsi"/>
                <w:b/>
                <w:sz w:val="20"/>
                <w:szCs w:val="20"/>
              </w:rPr>
              <w:t xml:space="preserve">Risks - </w:t>
            </w:r>
            <w:r w:rsidRPr="00CF5049">
              <w:rPr>
                <w:rFonts w:cstheme="minorHAnsi"/>
                <w:sz w:val="20"/>
                <w:szCs w:val="20"/>
              </w:rPr>
              <w:t xml:space="preserve">The Trust does not have a dedicated resource for patient involvement and it is currently integrated into the roles of patient experience and communications team. The associated risk is that without the dedicated resource, the quality and </w:t>
            </w:r>
            <w:r w:rsidRPr="00CF5049">
              <w:rPr>
                <w:rFonts w:cstheme="minorHAnsi"/>
                <w:sz w:val="20"/>
                <w:szCs w:val="20"/>
              </w:rPr>
              <w:lastRenderedPageBreak/>
              <w:t>effectiveness of involvement will be limited.</w:t>
            </w:r>
          </w:p>
          <w:p w14:paraId="258079E3" w14:textId="77777777" w:rsidR="0028509F" w:rsidRPr="00CC668E" w:rsidRDefault="0028509F" w:rsidP="00933259">
            <w:pPr>
              <w:pStyle w:val="ListParagraph"/>
              <w:spacing w:after="0"/>
              <w:rPr>
                <w:rFonts w:cstheme="minorHAnsi"/>
                <w:sz w:val="20"/>
                <w:szCs w:val="20"/>
              </w:rPr>
            </w:pPr>
          </w:p>
        </w:tc>
      </w:tr>
      <w:tr w:rsidR="0028509F" w14:paraId="196B13AC" w14:textId="77777777" w:rsidTr="00574CAF">
        <w:tc>
          <w:tcPr>
            <w:tcW w:w="1610" w:type="dxa"/>
          </w:tcPr>
          <w:p w14:paraId="0180D1EF" w14:textId="77777777" w:rsidR="0028509F" w:rsidRDefault="0028509F" w:rsidP="00933259">
            <w:pPr>
              <w:rPr>
                <w:rFonts w:cstheme="minorHAnsi"/>
                <w:sz w:val="20"/>
                <w:szCs w:val="20"/>
              </w:rPr>
            </w:pPr>
            <w:r>
              <w:rPr>
                <w:rFonts w:cstheme="minorHAnsi"/>
                <w:sz w:val="20"/>
                <w:szCs w:val="20"/>
              </w:rPr>
              <w:lastRenderedPageBreak/>
              <w:t>One patient led project by end of 2023-24</w:t>
            </w:r>
          </w:p>
        </w:tc>
        <w:tc>
          <w:tcPr>
            <w:tcW w:w="653" w:type="dxa"/>
            <w:shd w:val="clear" w:color="auto" w:fill="FFC000"/>
          </w:tcPr>
          <w:p w14:paraId="7A9BF76C" w14:textId="77777777" w:rsidR="0028509F" w:rsidRDefault="0028509F" w:rsidP="00933259">
            <w:pPr>
              <w:rPr>
                <w:rFonts w:cstheme="minorHAnsi"/>
                <w:sz w:val="20"/>
                <w:szCs w:val="20"/>
              </w:rPr>
            </w:pPr>
          </w:p>
        </w:tc>
        <w:tc>
          <w:tcPr>
            <w:tcW w:w="3402" w:type="dxa"/>
          </w:tcPr>
          <w:p w14:paraId="733B3261" w14:textId="129F0BFF" w:rsidR="0028509F" w:rsidRDefault="0028509F" w:rsidP="00933259">
            <w:pPr>
              <w:rPr>
                <w:rFonts w:cstheme="minorHAnsi"/>
                <w:sz w:val="20"/>
                <w:szCs w:val="20"/>
              </w:rPr>
            </w:pPr>
            <w:r>
              <w:rPr>
                <w:rFonts w:cstheme="minorHAnsi"/>
                <w:sz w:val="20"/>
                <w:szCs w:val="20"/>
              </w:rPr>
              <w:t>Trust specific aspects of the project have been completed – surveying of staff, patient and carer experience for patients with learning disabilities. Results shared with LD lead nurse and wider clinical colleagues for learning.</w:t>
            </w:r>
          </w:p>
        </w:tc>
        <w:tc>
          <w:tcPr>
            <w:tcW w:w="2694" w:type="dxa"/>
          </w:tcPr>
          <w:p w14:paraId="41089FE2" w14:textId="48F2C431" w:rsidR="0028509F" w:rsidRDefault="00574CAF" w:rsidP="00285FE3">
            <w:pPr>
              <w:rPr>
                <w:rFonts w:cstheme="minorHAnsi"/>
                <w:sz w:val="20"/>
                <w:szCs w:val="20"/>
              </w:rPr>
            </w:pPr>
            <w:r>
              <w:rPr>
                <w:rFonts w:cstheme="minorHAnsi"/>
                <w:sz w:val="20"/>
                <w:szCs w:val="20"/>
              </w:rPr>
              <w:t xml:space="preserve">Ongoing discussions on how to use these survey results more widely across </w:t>
            </w:r>
            <w:r w:rsidR="00285FE3">
              <w:rPr>
                <w:rFonts w:cstheme="minorHAnsi"/>
                <w:sz w:val="20"/>
                <w:szCs w:val="20"/>
              </w:rPr>
              <w:t xml:space="preserve">the </w:t>
            </w:r>
            <w:r>
              <w:rPr>
                <w:rFonts w:cstheme="minorHAnsi"/>
                <w:sz w:val="20"/>
                <w:szCs w:val="20"/>
              </w:rPr>
              <w:t xml:space="preserve">health and social care </w:t>
            </w:r>
            <w:r w:rsidR="00285FE3">
              <w:rPr>
                <w:rFonts w:cstheme="minorHAnsi"/>
                <w:sz w:val="20"/>
                <w:szCs w:val="20"/>
              </w:rPr>
              <w:t>sector within</w:t>
            </w:r>
            <w:r>
              <w:rPr>
                <w:rFonts w:cstheme="minorHAnsi"/>
                <w:sz w:val="20"/>
                <w:szCs w:val="20"/>
              </w:rPr>
              <w:t xml:space="preserve"> NWL</w:t>
            </w:r>
          </w:p>
        </w:tc>
        <w:tc>
          <w:tcPr>
            <w:tcW w:w="3131" w:type="dxa"/>
          </w:tcPr>
          <w:p w14:paraId="02EA89A1" w14:textId="77777777" w:rsidR="0028509F" w:rsidRPr="00CC668E" w:rsidRDefault="0028509F" w:rsidP="00933259">
            <w:pPr>
              <w:rPr>
                <w:rFonts w:cstheme="minorHAnsi"/>
                <w:sz w:val="20"/>
                <w:szCs w:val="20"/>
              </w:rPr>
            </w:pPr>
            <w:r>
              <w:rPr>
                <w:rFonts w:cstheme="minorHAnsi"/>
                <w:sz w:val="20"/>
                <w:szCs w:val="20"/>
              </w:rPr>
              <w:t>Local learning for the Trust identified</w:t>
            </w:r>
          </w:p>
        </w:tc>
        <w:tc>
          <w:tcPr>
            <w:tcW w:w="2786" w:type="dxa"/>
          </w:tcPr>
          <w:p w14:paraId="7AAEA7DF" w14:textId="12AE82E0" w:rsidR="0028509F" w:rsidRDefault="00285FE3" w:rsidP="00285FE3">
            <w:pPr>
              <w:rPr>
                <w:rFonts w:cstheme="minorHAnsi"/>
                <w:sz w:val="20"/>
                <w:szCs w:val="20"/>
              </w:rPr>
            </w:pPr>
            <w:r>
              <w:rPr>
                <w:rFonts w:cstheme="minorHAnsi"/>
                <w:sz w:val="20"/>
                <w:szCs w:val="20"/>
              </w:rPr>
              <w:t xml:space="preserve">Trust LD team, </w:t>
            </w:r>
            <w:r w:rsidR="0028509F">
              <w:rPr>
                <w:rFonts w:cstheme="minorHAnsi"/>
                <w:sz w:val="20"/>
                <w:szCs w:val="20"/>
              </w:rPr>
              <w:t xml:space="preserve">commissioner </w:t>
            </w:r>
            <w:r>
              <w:rPr>
                <w:rFonts w:cstheme="minorHAnsi"/>
                <w:sz w:val="20"/>
                <w:szCs w:val="20"/>
              </w:rPr>
              <w:t xml:space="preserve">and other health &amp; social care and local authority partners </w:t>
            </w:r>
            <w:r w:rsidR="0028509F">
              <w:rPr>
                <w:rFonts w:cstheme="minorHAnsi"/>
                <w:sz w:val="20"/>
                <w:szCs w:val="20"/>
              </w:rPr>
              <w:t>to meet and discuss a way forward</w:t>
            </w:r>
          </w:p>
        </w:tc>
      </w:tr>
    </w:tbl>
    <w:p w14:paraId="3BDE690E" w14:textId="77777777" w:rsidR="00BC7091" w:rsidRDefault="00BC7091" w:rsidP="00BC7091">
      <w:pPr>
        <w:rPr>
          <w:rFonts w:cstheme="minorHAnsi"/>
          <w:b/>
          <w:sz w:val="20"/>
          <w:szCs w:val="20"/>
        </w:rPr>
      </w:pPr>
    </w:p>
    <w:p w14:paraId="5E710112" w14:textId="77777777" w:rsidR="00BC7091" w:rsidRDefault="00BC7091" w:rsidP="00BC7091">
      <w:pPr>
        <w:rPr>
          <w:rFonts w:cstheme="minorHAnsi"/>
          <w:b/>
          <w:sz w:val="20"/>
          <w:szCs w:val="20"/>
        </w:rPr>
      </w:pPr>
      <w:r>
        <w:rPr>
          <w:rFonts w:cstheme="minorHAnsi"/>
          <w:b/>
          <w:sz w:val="20"/>
          <w:szCs w:val="20"/>
        </w:rPr>
        <w:br w:type="page"/>
      </w:r>
    </w:p>
    <w:p w14:paraId="3042F837" w14:textId="77777777" w:rsidR="00BC7091" w:rsidRDefault="00BC7091" w:rsidP="00BC7091">
      <w:pPr>
        <w:rPr>
          <w:i/>
        </w:rPr>
      </w:pPr>
      <w:r>
        <w:rPr>
          <w:rFonts w:cs="Arial"/>
          <w:noProof/>
          <w:lang w:eastAsia="en-GB"/>
        </w:rPr>
        <w:lastRenderedPageBreak/>
        <w:drawing>
          <wp:anchor distT="0" distB="0" distL="114300" distR="114300" simplePos="0" relativeHeight="251659264" behindDoc="0" locked="0" layoutInCell="1" allowOverlap="1" wp14:anchorId="0B44E145" wp14:editId="6C82CB23">
            <wp:simplePos x="0" y="0"/>
            <wp:positionH relativeFrom="margin">
              <wp:align>left</wp:align>
            </wp:positionH>
            <wp:positionV relativeFrom="margin">
              <wp:align>top</wp:align>
            </wp:positionV>
            <wp:extent cx="719847" cy="720444"/>
            <wp:effectExtent l="0" t="0" r="4445" b="3810"/>
            <wp:wrapSquare wrapText="bothSides"/>
            <wp:docPr id="47" name="Picture 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15"/>
                    <a:stretch>
                      <a:fillRect/>
                    </a:stretch>
                  </pic:blipFill>
                  <pic:spPr>
                    <a:xfrm>
                      <a:off x="0" y="0"/>
                      <a:ext cx="719847" cy="720444"/>
                    </a:xfrm>
                    <a:prstGeom prst="rect">
                      <a:avLst/>
                    </a:prstGeom>
                  </pic:spPr>
                </pic:pic>
              </a:graphicData>
            </a:graphic>
          </wp:anchor>
        </w:drawing>
      </w:r>
      <w:r w:rsidRPr="00E80DF5">
        <w:rPr>
          <w:b/>
        </w:rPr>
        <w:t>Strategic Objective Two:</w:t>
      </w:r>
      <w:r w:rsidRPr="00F940BD">
        <w:rPr>
          <w:bCs/>
        </w:rPr>
        <w:t xml:space="preserve"> </w:t>
      </w:r>
      <w:r w:rsidRPr="00F940BD">
        <w:t xml:space="preserve">Create opportunities for feedback, Ensure we have appropriate mechanisms for capturing this feedback, Listening to what our patients are sayings and Acting on it - </w:t>
      </w:r>
      <w:r w:rsidRPr="00F940BD">
        <w:rPr>
          <w:i/>
        </w:rPr>
        <w:t>“To improve how we share the improvements made after your feedback and the patient involvement work we do”</w:t>
      </w:r>
    </w:p>
    <w:p w14:paraId="1439264E" w14:textId="77777777" w:rsidR="00BC7091" w:rsidRDefault="00BC7091" w:rsidP="00BC7091">
      <w:pPr>
        <w:rPr>
          <w:rFonts w:cstheme="minorHAnsi"/>
          <w:sz w:val="20"/>
          <w:szCs w:val="20"/>
        </w:rPr>
      </w:pPr>
    </w:p>
    <w:tbl>
      <w:tblPr>
        <w:tblStyle w:val="TableGrid"/>
        <w:tblW w:w="0" w:type="auto"/>
        <w:tblLook w:val="04A0" w:firstRow="1" w:lastRow="0" w:firstColumn="1" w:lastColumn="0" w:noHBand="0" w:noVBand="1"/>
      </w:tblPr>
      <w:tblGrid>
        <w:gridCol w:w="1886"/>
        <w:gridCol w:w="661"/>
        <w:gridCol w:w="2693"/>
        <w:gridCol w:w="2977"/>
        <w:gridCol w:w="3363"/>
        <w:gridCol w:w="2696"/>
      </w:tblGrid>
      <w:tr w:rsidR="00B73D91" w14:paraId="07E1711B" w14:textId="77777777" w:rsidTr="00E11680">
        <w:tc>
          <w:tcPr>
            <w:tcW w:w="14276" w:type="dxa"/>
            <w:gridSpan w:val="6"/>
          </w:tcPr>
          <w:p w14:paraId="01C89AA6" w14:textId="66D5DE36" w:rsidR="00B73D91" w:rsidRPr="00956DA8" w:rsidRDefault="00B73D91" w:rsidP="00933259">
            <w:pPr>
              <w:jc w:val="center"/>
              <w:rPr>
                <w:rFonts w:cstheme="minorHAnsi"/>
                <w:b/>
                <w:szCs w:val="20"/>
              </w:rPr>
            </w:pPr>
            <w:r>
              <w:rPr>
                <w:rFonts w:cstheme="minorHAnsi"/>
                <w:b/>
                <w:szCs w:val="20"/>
              </w:rPr>
              <w:t>Objective 2 - 2023-24 Forward Plan Actions</w:t>
            </w:r>
          </w:p>
        </w:tc>
      </w:tr>
      <w:tr w:rsidR="00B73D91" w14:paraId="037E9BD7" w14:textId="77777777" w:rsidTr="00B73D91">
        <w:tc>
          <w:tcPr>
            <w:tcW w:w="1886" w:type="dxa"/>
          </w:tcPr>
          <w:p w14:paraId="6EBCBF06" w14:textId="77777777" w:rsidR="00B73D91" w:rsidRPr="007F775F" w:rsidRDefault="00B73D91" w:rsidP="00CB6AE8">
            <w:pPr>
              <w:rPr>
                <w:rFonts w:cstheme="minorHAnsi"/>
                <w:b/>
                <w:sz w:val="20"/>
                <w:szCs w:val="20"/>
              </w:rPr>
            </w:pPr>
            <w:r>
              <w:rPr>
                <w:rFonts w:cstheme="minorHAnsi"/>
                <w:b/>
                <w:sz w:val="20"/>
                <w:szCs w:val="20"/>
              </w:rPr>
              <w:t>What did we say we would do?</w:t>
            </w:r>
          </w:p>
        </w:tc>
        <w:tc>
          <w:tcPr>
            <w:tcW w:w="661" w:type="dxa"/>
          </w:tcPr>
          <w:p w14:paraId="549988DA" w14:textId="2A2A56C5" w:rsidR="00B73D91" w:rsidRDefault="00B73D91" w:rsidP="00CB6AE8">
            <w:pPr>
              <w:rPr>
                <w:rFonts w:cstheme="minorHAnsi"/>
                <w:b/>
                <w:sz w:val="20"/>
                <w:szCs w:val="20"/>
              </w:rPr>
            </w:pPr>
            <w:r>
              <w:rPr>
                <w:rFonts w:cstheme="minorHAnsi"/>
                <w:b/>
                <w:sz w:val="20"/>
                <w:szCs w:val="20"/>
              </w:rPr>
              <w:t>RAG</w:t>
            </w:r>
          </w:p>
        </w:tc>
        <w:tc>
          <w:tcPr>
            <w:tcW w:w="2693" w:type="dxa"/>
          </w:tcPr>
          <w:p w14:paraId="59F92C13" w14:textId="53FAB90A" w:rsidR="00B73D91" w:rsidRPr="007F775F" w:rsidRDefault="00B73D91" w:rsidP="00CB6AE8">
            <w:pPr>
              <w:rPr>
                <w:rFonts w:cstheme="minorHAnsi"/>
                <w:b/>
                <w:sz w:val="20"/>
                <w:szCs w:val="20"/>
              </w:rPr>
            </w:pPr>
            <w:r>
              <w:rPr>
                <w:rFonts w:cstheme="minorHAnsi"/>
                <w:b/>
                <w:sz w:val="20"/>
                <w:szCs w:val="20"/>
              </w:rPr>
              <w:t>Q1, Q2 &amp; Q3 activities</w:t>
            </w:r>
          </w:p>
        </w:tc>
        <w:tc>
          <w:tcPr>
            <w:tcW w:w="2977" w:type="dxa"/>
          </w:tcPr>
          <w:p w14:paraId="471CBCFA" w14:textId="445DD305" w:rsidR="00B73D91" w:rsidRDefault="00B73D91" w:rsidP="00CB6AE8">
            <w:pPr>
              <w:rPr>
                <w:rFonts w:cstheme="minorHAnsi"/>
                <w:b/>
                <w:sz w:val="20"/>
                <w:szCs w:val="20"/>
              </w:rPr>
            </w:pPr>
            <w:r>
              <w:rPr>
                <w:rFonts w:cstheme="minorHAnsi"/>
                <w:b/>
                <w:sz w:val="20"/>
                <w:szCs w:val="20"/>
              </w:rPr>
              <w:t>Q4 – what have we done?</w:t>
            </w:r>
          </w:p>
        </w:tc>
        <w:tc>
          <w:tcPr>
            <w:tcW w:w="3363" w:type="dxa"/>
          </w:tcPr>
          <w:p w14:paraId="348AA820" w14:textId="77777777" w:rsidR="00B73D91" w:rsidRDefault="00B73D91" w:rsidP="00CB6AE8">
            <w:pPr>
              <w:rPr>
                <w:rFonts w:cstheme="minorHAnsi"/>
                <w:b/>
                <w:sz w:val="20"/>
                <w:szCs w:val="20"/>
              </w:rPr>
            </w:pPr>
            <w:r>
              <w:rPr>
                <w:rFonts w:cstheme="minorHAnsi"/>
                <w:b/>
                <w:sz w:val="20"/>
                <w:szCs w:val="20"/>
              </w:rPr>
              <w:t>Impact</w:t>
            </w:r>
          </w:p>
        </w:tc>
        <w:tc>
          <w:tcPr>
            <w:tcW w:w="2696" w:type="dxa"/>
          </w:tcPr>
          <w:p w14:paraId="46609D48" w14:textId="77777777" w:rsidR="00B73D91" w:rsidRPr="007F775F" w:rsidRDefault="00B73D91" w:rsidP="00CB6AE8">
            <w:pPr>
              <w:rPr>
                <w:rFonts w:cstheme="minorHAnsi"/>
                <w:b/>
                <w:sz w:val="20"/>
                <w:szCs w:val="20"/>
              </w:rPr>
            </w:pPr>
            <w:r>
              <w:rPr>
                <w:rFonts w:cstheme="minorHAnsi"/>
                <w:b/>
                <w:sz w:val="20"/>
                <w:szCs w:val="20"/>
              </w:rPr>
              <w:t>Recommendations or risks</w:t>
            </w:r>
          </w:p>
        </w:tc>
      </w:tr>
      <w:tr w:rsidR="00B73D91" w14:paraId="34A9976B" w14:textId="77777777" w:rsidTr="00585437">
        <w:tc>
          <w:tcPr>
            <w:tcW w:w="1886" w:type="dxa"/>
          </w:tcPr>
          <w:p w14:paraId="2B2D41ED" w14:textId="77777777" w:rsidR="00B73D91" w:rsidRDefault="00B73D91" w:rsidP="00933259">
            <w:pPr>
              <w:rPr>
                <w:rFonts w:cstheme="minorHAnsi"/>
                <w:sz w:val="20"/>
                <w:szCs w:val="20"/>
              </w:rPr>
            </w:pPr>
            <w:r>
              <w:rPr>
                <w:rFonts w:cstheme="minorHAnsi"/>
                <w:sz w:val="20"/>
                <w:szCs w:val="20"/>
              </w:rPr>
              <w:t>Introduction of a complaints satisfaction survey</w:t>
            </w:r>
          </w:p>
        </w:tc>
        <w:tc>
          <w:tcPr>
            <w:tcW w:w="661" w:type="dxa"/>
            <w:shd w:val="clear" w:color="auto" w:fill="FFC000"/>
          </w:tcPr>
          <w:p w14:paraId="7B3AB913" w14:textId="77777777" w:rsidR="00B73D91" w:rsidRDefault="00B73D91" w:rsidP="00933259">
            <w:pPr>
              <w:rPr>
                <w:rFonts w:cstheme="minorHAnsi"/>
                <w:sz w:val="20"/>
                <w:szCs w:val="20"/>
              </w:rPr>
            </w:pPr>
          </w:p>
        </w:tc>
        <w:tc>
          <w:tcPr>
            <w:tcW w:w="2693" w:type="dxa"/>
          </w:tcPr>
          <w:p w14:paraId="0246EB22" w14:textId="2123F355" w:rsidR="00B73D91" w:rsidRPr="00865CB4" w:rsidRDefault="00B73D91" w:rsidP="00933259">
            <w:pPr>
              <w:rPr>
                <w:rFonts w:cstheme="minorHAnsi"/>
                <w:sz w:val="20"/>
                <w:szCs w:val="20"/>
              </w:rPr>
            </w:pPr>
            <w:r>
              <w:rPr>
                <w:rFonts w:cstheme="minorHAnsi"/>
                <w:sz w:val="20"/>
                <w:szCs w:val="20"/>
              </w:rPr>
              <w:t>Survey developed in Q2 and distributed to all complainants</w:t>
            </w:r>
          </w:p>
        </w:tc>
        <w:tc>
          <w:tcPr>
            <w:tcW w:w="2977" w:type="dxa"/>
          </w:tcPr>
          <w:p w14:paraId="0BD97C63" w14:textId="0B1784BC" w:rsidR="00B73D91" w:rsidRPr="00865CB4" w:rsidRDefault="00B73D91" w:rsidP="00CB6AE8">
            <w:pPr>
              <w:rPr>
                <w:rFonts w:cstheme="minorHAnsi"/>
                <w:sz w:val="20"/>
                <w:szCs w:val="20"/>
              </w:rPr>
            </w:pPr>
            <w:r>
              <w:rPr>
                <w:rFonts w:cstheme="minorHAnsi"/>
                <w:sz w:val="20"/>
                <w:szCs w:val="20"/>
              </w:rPr>
              <w:t>Continued to send survey link to complainants when they receive their response</w:t>
            </w:r>
          </w:p>
        </w:tc>
        <w:tc>
          <w:tcPr>
            <w:tcW w:w="3363" w:type="dxa"/>
          </w:tcPr>
          <w:p w14:paraId="31859E95" w14:textId="77777777" w:rsidR="00B73D91" w:rsidRDefault="00B73D91" w:rsidP="00933259">
            <w:pPr>
              <w:rPr>
                <w:rFonts w:cstheme="minorHAnsi"/>
                <w:sz w:val="20"/>
                <w:szCs w:val="20"/>
              </w:rPr>
            </w:pPr>
            <w:r>
              <w:rPr>
                <w:rFonts w:cstheme="minorHAnsi"/>
                <w:sz w:val="20"/>
                <w:szCs w:val="20"/>
              </w:rPr>
              <w:t>Positives:</w:t>
            </w:r>
          </w:p>
          <w:p w14:paraId="6E2191F1" w14:textId="77777777" w:rsidR="00B73D91" w:rsidRDefault="00B73D91" w:rsidP="004540A7">
            <w:pPr>
              <w:pStyle w:val="ListParagraph"/>
              <w:numPr>
                <w:ilvl w:val="0"/>
                <w:numId w:val="7"/>
              </w:numPr>
              <w:spacing w:after="0"/>
              <w:rPr>
                <w:rFonts w:cstheme="minorHAnsi"/>
                <w:sz w:val="20"/>
                <w:szCs w:val="20"/>
              </w:rPr>
            </w:pPr>
            <w:r>
              <w:rPr>
                <w:rFonts w:cstheme="minorHAnsi"/>
                <w:sz w:val="20"/>
                <w:szCs w:val="20"/>
              </w:rPr>
              <w:t>Complainants feel process is accessible and easy to understand</w:t>
            </w:r>
          </w:p>
          <w:p w14:paraId="18E8C643" w14:textId="77777777" w:rsidR="00B73D91" w:rsidRDefault="00B73D91" w:rsidP="004540A7">
            <w:pPr>
              <w:pStyle w:val="ListParagraph"/>
              <w:numPr>
                <w:ilvl w:val="0"/>
                <w:numId w:val="7"/>
              </w:numPr>
              <w:spacing w:after="0"/>
              <w:rPr>
                <w:rFonts w:cstheme="minorHAnsi"/>
                <w:sz w:val="20"/>
                <w:szCs w:val="20"/>
              </w:rPr>
            </w:pPr>
            <w:r>
              <w:rPr>
                <w:rFonts w:cstheme="minorHAnsi"/>
                <w:sz w:val="20"/>
                <w:szCs w:val="20"/>
              </w:rPr>
              <w:t>Complainants don’t feel the process impacts their care</w:t>
            </w:r>
          </w:p>
          <w:p w14:paraId="350AA79F" w14:textId="77777777" w:rsidR="00B73D91" w:rsidRDefault="00B73D91" w:rsidP="00933259">
            <w:pPr>
              <w:rPr>
                <w:rFonts w:cstheme="minorHAnsi"/>
                <w:sz w:val="20"/>
                <w:szCs w:val="20"/>
              </w:rPr>
            </w:pPr>
          </w:p>
          <w:p w14:paraId="74CD49D6" w14:textId="77777777" w:rsidR="00B73D91" w:rsidRDefault="00B73D91" w:rsidP="00933259">
            <w:pPr>
              <w:rPr>
                <w:rFonts w:cstheme="minorHAnsi"/>
                <w:sz w:val="20"/>
                <w:szCs w:val="20"/>
              </w:rPr>
            </w:pPr>
            <w:r>
              <w:rPr>
                <w:rFonts w:cstheme="minorHAnsi"/>
                <w:sz w:val="20"/>
                <w:szCs w:val="20"/>
              </w:rPr>
              <w:t>Improvements:</w:t>
            </w:r>
          </w:p>
          <w:p w14:paraId="02969719" w14:textId="77777777" w:rsidR="00B73D91" w:rsidRDefault="00B73D91" w:rsidP="004540A7">
            <w:pPr>
              <w:pStyle w:val="ListParagraph"/>
              <w:numPr>
                <w:ilvl w:val="0"/>
                <w:numId w:val="7"/>
              </w:numPr>
              <w:spacing w:after="0"/>
              <w:rPr>
                <w:rFonts w:cstheme="minorHAnsi"/>
                <w:sz w:val="20"/>
                <w:szCs w:val="20"/>
              </w:rPr>
            </w:pPr>
            <w:r>
              <w:rPr>
                <w:rFonts w:cstheme="minorHAnsi"/>
                <w:sz w:val="20"/>
                <w:szCs w:val="20"/>
              </w:rPr>
              <w:t>Review how we maintain communication with people raising complaints throughout the process</w:t>
            </w:r>
          </w:p>
          <w:p w14:paraId="662F5366" w14:textId="77777777" w:rsidR="00B73D91" w:rsidRDefault="00B73D91" w:rsidP="004540A7">
            <w:pPr>
              <w:pStyle w:val="ListParagraph"/>
              <w:numPr>
                <w:ilvl w:val="0"/>
                <w:numId w:val="7"/>
              </w:numPr>
              <w:spacing w:after="0"/>
              <w:rPr>
                <w:rFonts w:cstheme="minorHAnsi"/>
                <w:sz w:val="20"/>
                <w:szCs w:val="20"/>
              </w:rPr>
            </w:pPr>
            <w:r>
              <w:rPr>
                <w:rFonts w:cstheme="minorHAnsi"/>
                <w:sz w:val="20"/>
                <w:szCs w:val="20"/>
              </w:rPr>
              <w:t xml:space="preserve">Need to ensure learning outcomes are clearer </w:t>
            </w:r>
          </w:p>
          <w:p w14:paraId="409F6E89" w14:textId="77777777" w:rsidR="00B73D91" w:rsidRDefault="00B73D91" w:rsidP="004540A7">
            <w:pPr>
              <w:pStyle w:val="ListParagraph"/>
              <w:numPr>
                <w:ilvl w:val="0"/>
                <w:numId w:val="7"/>
              </w:numPr>
              <w:spacing w:after="0"/>
              <w:rPr>
                <w:rFonts w:cstheme="minorHAnsi"/>
                <w:sz w:val="20"/>
                <w:szCs w:val="20"/>
              </w:rPr>
            </w:pPr>
            <w:r>
              <w:rPr>
                <w:rFonts w:cstheme="minorHAnsi"/>
                <w:sz w:val="20"/>
                <w:szCs w:val="20"/>
              </w:rPr>
              <w:t>Review the clarity in responses to ensure they are in plain English</w:t>
            </w:r>
          </w:p>
          <w:p w14:paraId="3F605FA0" w14:textId="77777777" w:rsidR="00B73D91" w:rsidRPr="00F67DCF" w:rsidRDefault="00B73D91" w:rsidP="00933259">
            <w:pPr>
              <w:rPr>
                <w:rFonts w:cstheme="minorHAnsi"/>
                <w:sz w:val="20"/>
                <w:szCs w:val="20"/>
              </w:rPr>
            </w:pPr>
          </w:p>
        </w:tc>
        <w:tc>
          <w:tcPr>
            <w:tcW w:w="2696" w:type="dxa"/>
          </w:tcPr>
          <w:p w14:paraId="3DFA5758" w14:textId="2D893244" w:rsidR="00B73D91" w:rsidRDefault="00B73D91" w:rsidP="00933259">
            <w:pPr>
              <w:rPr>
                <w:rFonts w:cstheme="minorHAnsi"/>
                <w:sz w:val="20"/>
                <w:szCs w:val="20"/>
              </w:rPr>
            </w:pPr>
            <w:r>
              <w:rPr>
                <w:rFonts w:cstheme="minorHAnsi"/>
                <w:sz w:val="20"/>
                <w:szCs w:val="20"/>
              </w:rPr>
              <w:t>Limited responses from Q2-Q4 (n-13)</w:t>
            </w:r>
          </w:p>
          <w:p w14:paraId="32241DB2" w14:textId="036B4689" w:rsidR="00B73D91" w:rsidRDefault="00B73D91" w:rsidP="00933259">
            <w:pPr>
              <w:rPr>
                <w:rFonts w:cstheme="minorHAnsi"/>
                <w:sz w:val="20"/>
                <w:szCs w:val="20"/>
              </w:rPr>
            </w:pPr>
            <w:r>
              <w:rPr>
                <w:rFonts w:cstheme="minorHAnsi"/>
                <w:b/>
                <w:sz w:val="20"/>
                <w:szCs w:val="20"/>
              </w:rPr>
              <w:t xml:space="preserve">Risk – </w:t>
            </w:r>
            <w:r>
              <w:rPr>
                <w:rFonts w:cstheme="minorHAnsi"/>
                <w:sz w:val="20"/>
                <w:szCs w:val="20"/>
              </w:rPr>
              <w:t>we don’t know if the complaints process is user friendly, accessible or satisfactory</w:t>
            </w:r>
          </w:p>
          <w:p w14:paraId="7F37DE79" w14:textId="244BA6B2" w:rsidR="00B73D91" w:rsidRDefault="00B73D91" w:rsidP="00933259">
            <w:pPr>
              <w:rPr>
                <w:rFonts w:cstheme="minorHAnsi"/>
                <w:sz w:val="20"/>
                <w:szCs w:val="20"/>
              </w:rPr>
            </w:pPr>
          </w:p>
          <w:p w14:paraId="0546C239" w14:textId="28CEB201" w:rsidR="00B73D91" w:rsidRPr="00065726" w:rsidRDefault="00B73D91" w:rsidP="00933259">
            <w:pPr>
              <w:rPr>
                <w:rFonts w:cstheme="minorHAnsi"/>
                <w:sz w:val="20"/>
                <w:szCs w:val="20"/>
              </w:rPr>
            </w:pPr>
            <w:r>
              <w:rPr>
                <w:rFonts w:cstheme="minorHAnsi"/>
                <w:sz w:val="20"/>
                <w:szCs w:val="20"/>
              </w:rPr>
              <w:t>Head of Complaints to review feedback and on a reinvigorated approach to understanding experience of complaints process with the complainants</w:t>
            </w:r>
          </w:p>
          <w:p w14:paraId="47F59D8A" w14:textId="77777777" w:rsidR="00B73D91" w:rsidRPr="00865CB4" w:rsidRDefault="00B73D91" w:rsidP="00933259">
            <w:pPr>
              <w:rPr>
                <w:rFonts w:cstheme="minorHAnsi"/>
                <w:sz w:val="20"/>
                <w:szCs w:val="20"/>
              </w:rPr>
            </w:pPr>
          </w:p>
        </w:tc>
      </w:tr>
      <w:tr w:rsidR="00B73D91" w14:paraId="038FC0A7" w14:textId="77777777" w:rsidTr="00585437">
        <w:tc>
          <w:tcPr>
            <w:tcW w:w="1886" w:type="dxa"/>
          </w:tcPr>
          <w:p w14:paraId="6922A701" w14:textId="77777777" w:rsidR="00B73D91" w:rsidRDefault="00B73D91" w:rsidP="00933259">
            <w:pPr>
              <w:rPr>
                <w:rFonts w:cstheme="minorHAnsi"/>
                <w:sz w:val="20"/>
                <w:szCs w:val="20"/>
              </w:rPr>
            </w:pPr>
            <w:r>
              <w:rPr>
                <w:rFonts w:cstheme="minorHAnsi"/>
                <w:sz w:val="20"/>
                <w:szCs w:val="20"/>
              </w:rPr>
              <w:t>Creation of a ‘Patient Story’ framework</w:t>
            </w:r>
          </w:p>
        </w:tc>
        <w:tc>
          <w:tcPr>
            <w:tcW w:w="661" w:type="dxa"/>
            <w:shd w:val="clear" w:color="auto" w:fill="0070C0"/>
          </w:tcPr>
          <w:p w14:paraId="6C8535E1" w14:textId="77777777" w:rsidR="00B73D91" w:rsidRPr="00865CB4" w:rsidRDefault="00B73D91" w:rsidP="00933259">
            <w:pPr>
              <w:rPr>
                <w:rFonts w:cstheme="minorHAnsi"/>
                <w:sz w:val="20"/>
                <w:szCs w:val="20"/>
              </w:rPr>
            </w:pPr>
          </w:p>
        </w:tc>
        <w:tc>
          <w:tcPr>
            <w:tcW w:w="2693" w:type="dxa"/>
          </w:tcPr>
          <w:p w14:paraId="1B9D89E7" w14:textId="16DB0CC2" w:rsidR="00B73D91" w:rsidRDefault="00B73D91" w:rsidP="00933259">
            <w:pPr>
              <w:rPr>
                <w:rFonts w:cstheme="minorHAnsi"/>
                <w:sz w:val="20"/>
                <w:szCs w:val="20"/>
              </w:rPr>
            </w:pPr>
            <w:r w:rsidRPr="00865CB4">
              <w:rPr>
                <w:rFonts w:cstheme="minorHAnsi"/>
                <w:sz w:val="20"/>
                <w:szCs w:val="20"/>
              </w:rPr>
              <w:t>Patient story guidance document developed and approved at May’s PPEEG</w:t>
            </w:r>
            <w:r>
              <w:rPr>
                <w:rFonts w:cstheme="minorHAnsi"/>
                <w:sz w:val="20"/>
                <w:szCs w:val="20"/>
              </w:rPr>
              <w:t xml:space="preserve">. </w:t>
            </w:r>
            <w:r w:rsidRPr="00865CB4">
              <w:rPr>
                <w:rFonts w:cstheme="minorHAnsi"/>
                <w:sz w:val="20"/>
                <w:szCs w:val="20"/>
              </w:rPr>
              <w:t xml:space="preserve">First patient story brought </w:t>
            </w:r>
            <w:r w:rsidRPr="00865CB4">
              <w:rPr>
                <w:rFonts w:cstheme="minorHAnsi"/>
                <w:sz w:val="20"/>
                <w:szCs w:val="20"/>
              </w:rPr>
              <w:lastRenderedPageBreak/>
              <w:t xml:space="preserve">to June’s PPEEG (planned care) </w:t>
            </w:r>
          </w:p>
          <w:p w14:paraId="396C4138" w14:textId="04155D8B" w:rsidR="00B73D91" w:rsidRDefault="00B73D91" w:rsidP="00933259">
            <w:pPr>
              <w:rPr>
                <w:rFonts w:cstheme="minorHAnsi"/>
                <w:sz w:val="20"/>
                <w:szCs w:val="20"/>
              </w:rPr>
            </w:pPr>
            <w:r>
              <w:rPr>
                <w:rFonts w:cstheme="minorHAnsi"/>
                <w:sz w:val="20"/>
                <w:szCs w:val="20"/>
              </w:rPr>
              <w:t>Patient stories from David Evans, NICU and Endoscopy discussed at PPEEG and a number of associated actions have been implemented at a service level or are being considered by the Trust.</w:t>
            </w:r>
          </w:p>
          <w:p w14:paraId="090EE1A1" w14:textId="77777777" w:rsidR="00B73D91" w:rsidRDefault="00B73D91" w:rsidP="00933259">
            <w:pPr>
              <w:rPr>
                <w:rFonts w:cstheme="minorHAnsi"/>
                <w:sz w:val="20"/>
                <w:szCs w:val="20"/>
              </w:rPr>
            </w:pPr>
            <w:r>
              <w:rPr>
                <w:rFonts w:cstheme="minorHAnsi"/>
                <w:sz w:val="20"/>
                <w:szCs w:val="20"/>
              </w:rPr>
              <w:t>EIC included a patient story in their recent staff away day</w:t>
            </w:r>
          </w:p>
          <w:p w14:paraId="1AF2A0A0" w14:textId="77777777" w:rsidR="00B73D91" w:rsidRPr="00865CB4" w:rsidRDefault="00B73D91" w:rsidP="00933259">
            <w:pPr>
              <w:rPr>
                <w:rFonts w:cstheme="minorHAnsi"/>
                <w:sz w:val="20"/>
                <w:szCs w:val="20"/>
              </w:rPr>
            </w:pPr>
          </w:p>
        </w:tc>
        <w:tc>
          <w:tcPr>
            <w:tcW w:w="2977" w:type="dxa"/>
          </w:tcPr>
          <w:p w14:paraId="2BDEF190" w14:textId="5AA7D1A2" w:rsidR="00B73D91" w:rsidRDefault="00B73D91" w:rsidP="00933259">
            <w:pPr>
              <w:rPr>
                <w:rFonts w:cstheme="minorHAnsi"/>
                <w:sz w:val="20"/>
                <w:szCs w:val="20"/>
              </w:rPr>
            </w:pPr>
            <w:r>
              <w:rPr>
                <w:rFonts w:cstheme="minorHAnsi"/>
                <w:sz w:val="20"/>
                <w:szCs w:val="20"/>
              </w:rPr>
              <w:lastRenderedPageBreak/>
              <w:t>Patient stories continue to see traction both within the framework of PPEEG but wider afield:</w:t>
            </w:r>
          </w:p>
          <w:p w14:paraId="73221568" w14:textId="69F1B9FB" w:rsidR="00B73D91" w:rsidRDefault="00B73D91" w:rsidP="004540A7">
            <w:pPr>
              <w:pStyle w:val="ListParagraph"/>
              <w:numPr>
                <w:ilvl w:val="0"/>
                <w:numId w:val="7"/>
              </w:numPr>
              <w:ind w:left="360"/>
              <w:rPr>
                <w:rFonts w:cstheme="minorHAnsi"/>
                <w:sz w:val="20"/>
                <w:szCs w:val="20"/>
              </w:rPr>
            </w:pPr>
            <w:r>
              <w:rPr>
                <w:rFonts w:cstheme="minorHAnsi"/>
                <w:sz w:val="20"/>
                <w:szCs w:val="20"/>
              </w:rPr>
              <w:lastRenderedPageBreak/>
              <w:t>Serious incident patient story shared at PPEEG in March</w:t>
            </w:r>
          </w:p>
          <w:p w14:paraId="7978CAD1" w14:textId="4E09A1FC" w:rsidR="00B73D91" w:rsidRDefault="00B73D91" w:rsidP="004540A7">
            <w:pPr>
              <w:pStyle w:val="ListParagraph"/>
              <w:numPr>
                <w:ilvl w:val="0"/>
                <w:numId w:val="7"/>
              </w:numPr>
              <w:ind w:left="360"/>
              <w:rPr>
                <w:rFonts w:cstheme="minorHAnsi"/>
                <w:sz w:val="20"/>
                <w:szCs w:val="20"/>
              </w:rPr>
            </w:pPr>
            <w:r>
              <w:rPr>
                <w:rFonts w:cstheme="minorHAnsi"/>
                <w:sz w:val="20"/>
                <w:szCs w:val="20"/>
              </w:rPr>
              <w:t>Patient stories included in newly developed customer service training, which is being piloted with patient access colleagues</w:t>
            </w:r>
          </w:p>
          <w:p w14:paraId="62981464" w14:textId="5C8E2BC2" w:rsidR="00B73D91" w:rsidRPr="00065726" w:rsidRDefault="00B73D91" w:rsidP="004540A7">
            <w:pPr>
              <w:pStyle w:val="ListParagraph"/>
              <w:numPr>
                <w:ilvl w:val="0"/>
                <w:numId w:val="7"/>
              </w:numPr>
              <w:ind w:left="360"/>
              <w:rPr>
                <w:rFonts w:cstheme="minorHAnsi"/>
                <w:sz w:val="20"/>
                <w:szCs w:val="20"/>
              </w:rPr>
            </w:pPr>
            <w:r>
              <w:rPr>
                <w:rFonts w:cstheme="minorHAnsi"/>
                <w:sz w:val="20"/>
                <w:szCs w:val="20"/>
              </w:rPr>
              <w:t>Regular sharing of patient stories within maternity experience meetings</w:t>
            </w:r>
          </w:p>
          <w:p w14:paraId="16142CF5" w14:textId="77777777" w:rsidR="00B73D91" w:rsidRDefault="00B73D91" w:rsidP="00933259">
            <w:pPr>
              <w:rPr>
                <w:rFonts w:cstheme="minorHAnsi"/>
                <w:sz w:val="20"/>
                <w:szCs w:val="20"/>
              </w:rPr>
            </w:pPr>
          </w:p>
          <w:p w14:paraId="1F0D82CE" w14:textId="77777777" w:rsidR="00B73D91" w:rsidRPr="00865CB4" w:rsidRDefault="00B73D91" w:rsidP="00933259">
            <w:pPr>
              <w:rPr>
                <w:rFonts w:cstheme="minorHAnsi"/>
                <w:sz w:val="20"/>
                <w:szCs w:val="20"/>
              </w:rPr>
            </w:pPr>
          </w:p>
        </w:tc>
        <w:tc>
          <w:tcPr>
            <w:tcW w:w="3363" w:type="dxa"/>
          </w:tcPr>
          <w:p w14:paraId="7977A5F9" w14:textId="77777777" w:rsidR="00B73D91" w:rsidRDefault="00B73D91" w:rsidP="00933259">
            <w:pPr>
              <w:rPr>
                <w:rFonts w:cstheme="minorHAnsi"/>
                <w:sz w:val="20"/>
                <w:szCs w:val="20"/>
              </w:rPr>
            </w:pPr>
            <w:r>
              <w:rPr>
                <w:rFonts w:cstheme="minorHAnsi"/>
                <w:sz w:val="20"/>
                <w:szCs w:val="20"/>
              </w:rPr>
              <w:lastRenderedPageBreak/>
              <w:t>Patient story guidance has supported divisions with integrating stories into their practices</w:t>
            </w:r>
          </w:p>
          <w:p w14:paraId="645FDD78" w14:textId="30D54A43" w:rsidR="00B73D91" w:rsidRPr="00420A46" w:rsidRDefault="00B73D91" w:rsidP="00A518A9">
            <w:pPr>
              <w:rPr>
                <w:rFonts w:cstheme="minorHAnsi"/>
                <w:sz w:val="20"/>
                <w:szCs w:val="20"/>
              </w:rPr>
            </w:pPr>
            <w:r>
              <w:rPr>
                <w:rFonts w:cstheme="minorHAnsi"/>
                <w:sz w:val="20"/>
                <w:szCs w:val="20"/>
              </w:rPr>
              <w:lastRenderedPageBreak/>
              <w:t xml:space="preserve">100% (n-50) of staff spoken to stated that patient stories have helped gain a deeper understanding of experiences and where they can improve; however 23-24 ward accreditation results show that </w:t>
            </w:r>
            <w:r w:rsidR="00A518A9">
              <w:rPr>
                <w:rFonts w:cstheme="minorHAnsi"/>
                <w:sz w:val="20"/>
                <w:szCs w:val="20"/>
              </w:rPr>
              <w:t>a high %</w:t>
            </w:r>
            <w:r>
              <w:rPr>
                <w:rFonts w:cstheme="minorHAnsi"/>
                <w:sz w:val="20"/>
                <w:szCs w:val="20"/>
              </w:rPr>
              <w:t xml:space="preserve"> of all areas are unsure how to approach patient stories in their areas</w:t>
            </w:r>
          </w:p>
        </w:tc>
        <w:tc>
          <w:tcPr>
            <w:tcW w:w="2696" w:type="dxa"/>
          </w:tcPr>
          <w:p w14:paraId="21786957" w14:textId="77777777" w:rsidR="00B73D91" w:rsidRDefault="00B73D91" w:rsidP="00933259">
            <w:pPr>
              <w:rPr>
                <w:rFonts w:cstheme="minorHAnsi"/>
                <w:sz w:val="20"/>
                <w:szCs w:val="20"/>
              </w:rPr>
            </w:pPr>
            <w:r>
              <w:rPr>
                <w:rFonts w:cstheme="minorHAnsi"/>
                <w:sz w:val="20"/>
                <w:szCs w:val="20"/>
              </w:rPr>
              <w:lastRenderedPageBreak/>
              <w:t>Continue to promote and encourage the use of patient stories</w:t>
            </w:r>
          </w:p>
          <w:p w14:paraId="36F7BE45" w14:textId="5D42F12B" w:rsidR="00B73D91" w:rsidRDefault="00B73D91" w:rsidP="00933259">
            <w:pPr>
              <w:rPr>
                <w:rFonts w:cstheme="minorHAnsi"/>
                <w:sz w:val="20"/>
                <w:szCs w:val="20"/>
              </w:rPr>
            </w:pPr>
            <w:r>
              <w:rPr>
                <w:rFonts w:cstheme="minorHAnsi"/>
                <w:sz w:val="20"/>
                <w:szCs w:val="20"/>
              </w:rPr>
              <w:lastRenderedPageBreak/>
              <w:t>Look to do a campaign week with staff to educate them on patient stories, the approach and how they can be integrated into working practices</w:t>
            </w:r>
          </w:p>
          <w:p w14:paraId="6C2AE01A" w14:textId="6BF7154E" w:rsidR="00B73D91" w:rsidRDefault="00B73D91" w:rsidP="00933259">
            <w:pPr>
              <w:rPr>
                <w:rFonts w:cstheme="minorHAnsi"/>
                <w:sz w:val="20"/>
                <w:szCs w:val="20"/>
              </w:rPr>
            </w:pPr>
            <w:r>
              <w:rPr>
                <w:rFonts w:cstheme="minorHAnsi"/>
                <w:sz w:val="20"/>
                <w:szCs w:val="20"/>
              </w:rPr>
              <w:t>Look at developing an impact framework for areas that are using patient stories</w:t>
            </w:r>
          </w:p>
          <w:p w14:paraId="4CC02D1E" w14:textId="56F349FD" w:rsidR="00B73D91" w:rsidRPr="000F41D2" w:rsidRDefault="00B73D91" w:rsidP="00933259">
            <w:pPr>
              <w:rPr>
                <w:rFonts w:cstheme="minorHAnsi"/>
                <w:sz w:val="20"/>
                <w:szCs w:val="20"/>
              </w:rPr>
            </w:pPr>
            <w:r>
              <w:rPr>
                <w:rFonts w:cstheme="minorHAnsi"/>
                <w:sz w:val="20"/>
                <w:szCs w:val="20"/>
              </w:rPr>
              <w:t>Build a repository of stories (written, audio, video) to be used with service redesign, evaluation, meetings or for sharing lived experiences with other patients</w:t>
            </w:r>
          </w:p>
        </w:tc>
      </w:tr>
      <w:tr w:rsidR="005A5E00" w14:paraId="3D9EF383" w14:textId="77777777" w:rsidTr="00E11680">
        <w:tc>
          <w:tcPr>
            <w:tcW w:w="14276" w:type="dxa"/>
            <w:gridSpan w:val="6"/>
          </w:tcPr>
          <w:p w14:paraId="3CDE7799" w14:textId="4D70FCE9" w:rsidR="005A5E00" w:rsidRPr="00956DA8" w:rsidRDefault="005A5E00" w:rsidP="00933259">
            <w:pPr>
              <w:jc w:val="center"/>
              <w:rPr>
                <w:rFonts w:cstheme="minorHAnsi"/>
                <w:b/>
                <w:szCs w:val="20"/>
              </w:rPr>
            </w:pPr>
            <w:r w:rsidRPr="00956DA8">
              <w:rPr>
                <w:rFonts w:cstheme="minorHAnsi"/>
                <w:b/>
                <w:szCs w:val="20"/>
              </w:rPr>
              <w:lastRenderedPageBreak/>
              <w:t>Other Activities</w:t>
            </w:r>
          </w:p>
        </w:tc>
      </w:tr>
      <w:tr w:rsidR="00B73D91" w14:paraId="074CA60F" w14:textId="77777777" w:rsidTr="00B73D91">
        <w:tc>
          <w:tcPr>
            <w:tcW w:w="1886" w:type="dxa"/>
          </w:tcPr>
          <w:p w14:paraId="15F0B4A5" w14:textId="77777777" w:rsidR="00B73D91" w:rsidRPr="007F775F" w:rsidRDefault="00B73D91" w:rsidP="001069D0">
            <w:pPr>
              <w:rPr>
                <w:rFonts w:cstheme="minorHAnsi"/>
                <w:b/>
                <w:sz w:val="20"/>
                <w:szCs w:val="20"/>
              </w:rPr>
            </w:pPr>
            <w:r>
              <w:rPr>
                <w:rFonts w:cstheme="minorHAnsi"/>
                <w:b/>
                <w:sz w:val="20"/>
                <w:szCs w:val="20"/>
              </w:rPr>
              <w:t>What did we say we would do?</w:t>
            </w:r>
          </w:p>
        </w:tc>
        <w:tc>
          <w:tcPr>
            <w:tcW w:w="661" w:type="dxa"/>
          </w:tcPr>
          <w:p w14:paraId="454DFB0E" w14:textId="3FA02C7F" w:rsidR="00B73D91" w:rsidRDefault="005A5E00" w:rsidP="001069D0">
            <w:pPr>
              <w:rPr>
                <w:rFonts w:cstheme="minorHAnsi"/>
                <w:b/>
                <w:sz w:val="20"/>
                <w:szCs w:val="20"/>
              </w:rPr>
            </w:pPr>
            <w:r>
              <w:rPr>
                <w:rFonts w:cstheme="minorHAnsi"/>
                <w:b/>
                <w:sz w:val="20"/>
                <w:szCs w:val="20"/>
              </w:rPr>
              <w:t>RAG</w:t>
            </w:r>
          </w:p>
        </w:tc>
        <w:tc>
          <w:tcPr>
            <w:tcW w:w="2693" w:type="dxa"/>
          </w:tcPr>
          <w:p w14:paraId="4E4EDF6E" w14:textId="50B4DB4D" w:rsidR="00B73D91" w:rsidRPr="007F775F" w:rsidRDefault="00B73D91" w:rsidP="001069D0">
            <w:pPr>
              <w:rPr>
                <w:rFonts w:cstheme="minorHAnsi"/>
                <w:b/>
                <w:sz w:val="20"/>
                <w:szCs w:val="20"/>
              </w:rPr>
            </w:pPr>
            <w:r>
              <w:rPr>
                <w:rFonts w:cstheme="minorHAnsi"/>
                <w:b/>
                <w:sz w:val="20"/>
                <w:szCs w:val="20"/>
              </w:rPr>
              <w:t>Q1, Q2 &amp; Q3 activities</w:t>
            </w:r>
          </w:p>
        </w:tc>
        <w:tc>
          <w:tcPr>
            <w:tcW w:w="2977" w:type="dxa"/>
          </w:tcPr>
          <w:p w14:paraId="42DE4F5C" w14:textId="24A2185E" w:rsidR="00B73D91" w:rsidRDefault="00B73D91" w:rsidP="001069D0">
            <w:pPr>
              <w:rPr>
                <w:rFonts w:cstheme="minorHAnsi"/>
                <w:b/>
                <w:sz w:val="20"/>
                <w:szCs w:val="20"/>
              </w:rPr>
            </w:pPr>
            <w:r>
              <w:rPr>
                <w:rFonts w:cstheme="minorHAnsi"/>
                <w:b/>
                <w:sz w:val="20"/>
                <w:szCs w:val="20"/>
              </w:rPr>
              <w:t>Q4 – what have we done?</w:t>
            </w:r>
          </w:p>
        </w:tc>
        <w:tc>
          <w:tcPr>
            <w:tcW w:w="3363" w:type="dxa"/>
          </w:tcPr>
          <w:p w14:paraId="65975270" w14:textId="77777777" w:rsidR="00B73D91" w:rsidRDefault="00B73D91" w:rsidP="001069D0">
            <w:pPr>
              <w:rPr>
                <w:rFonts w:cstheme="minorHAnsi"/>
                <w:b/>
                <w:sz w:val="20"/>
                <w:szCs w:val="20"/>
              </w:rPr>
            </w:pPr>
            <w:r>
              <w:rPr>
                <w:rFonts w:cstheme="minorHAnsi"/>
                <w:b/>
                <w:sz w:val="20"/>
                <w:szCs w:val="20"/>
              </w:rPr>
              <w:t>Impact</w:t>
            </w:r>
          </w:p>
        </w:tc>
        <w:tc>
          <w:tcPr>
            <w:tcW w:w="2696" w:type="dxa"/>
          </w:tcPr>
          <w:p w14:paraId="7942809B" w14:textId="77777777" w:rsidR="00B73D91" w:rsidRPr="007F775F" w:rsidRDefault="00B73D91" w:rsidP="001069D0">
            <w:pPr>
              <w:rPr>
                <w:rFonts w:cstheme="minorHAnsi"/>
                <w:b/>
                <w:sz w:val="20"/>
                <w:szCs w:val="20"/>
              </w:rPr>
            </w:pPr>
            <w:r>
              <w:rPr>
                <w:rFonts w:cstheme="minorHAnsi"/>
                <w:b/>
                <w:sz w:val="20"/>
                <w:szCs w:val="20"/>
              </w:rPr>
              <w:t>Recommendations or risks</w:t>
            </w:r>
          </w:p>
        </w:tc>
      </w:tr>
      <w:tr w:rsidR="00B73D91" w14:paraId="364B88DF" w14:textId="77777777" w:rsidTr="00585437">
        <w:tc>
          <w:tcPr>
            <w:tcW w:w="1886" w:type="dxa"/>
          </w:tcPr>
          <w:p w14:paraId="228B48B8" w14:textId="77777777" w:rsidR="00B73D91" w:rsidRDefault="00B73D91" w:rsidP="00933259">
            <w:pPr>
              <w:rPr>
                <w:rFonts w:cstheme="minorHAnsi"/>
                <w:sz w:val="20"/>
                <w:szCs w:val="20"/>
              </w:rPr>
            </w:pPr>
            <w:r>
              <w:rPr>
                <w:rFonts w:cstheme="minorHAnsi"/>
                <w:sz w:val="20"/>
                <w:szCs w:val="20"/>
              </w:rPr>
              <w:t>Ensure data and themes from feedback are being actioned regularly</w:t>
            </w:r>
          </w:p>
        </w:tc>
        <w:tc>
          <w:tcPr>
            <w:tcW w:w="661" w:type="dxa"/>
            <w:shd w:val="clear" w:color="auto" w:fill="92D050"/>
          </w:tcPr>
          <w:p w14:paraId="6B2FBA74" w14:textId="77777777" w:rsidR="00B73D91" w:rsidRDefault="00B73D91" w:rsidP="00933259">
            <w:pPr>
              <w:rPr>
                <w:rFonts w:cstheme="minorHAnsi"/>
                <w:sz w:val="20"/>
                <w:szCs w:val="20"/>
              </w:rPr>
            </w:pPr>
          </w:p>
        </w:tc>
        <w:tc>
          <w:tcPr>
            <w:tcW w:w="2693" w:type="dxa"/>
          </w:tcPr>
          <w:p w14:paraId="22878496" w14:textId="5BA53003" w:rsidR="00B73D91" w:rsidRDefault="00B73D91" w:rsidP="00933259">
            <w:pPr>
              <w:rPr>
                <w:rFonts w:cstheme="minorHAnsi"/>
                <w:sz w:val="20"/>
                <w:szCs w:val="20"/>
              </w:rPr>
            </w:pPr>
            <w:r>
              <w:rPr>
                <w:rFonts w:cstheme="minorHAnsi"/>
                <w:sz w:val="20"/>
                <w:szCs w:val="20"/>
              </w:rPr>
              <w:t>Training, education and awareness sessions completed with staff of different roles/grades on patient feedback</w:t>
            </w:r>
          </w:p>
          <w:p w14:paraId="6A13A6B7" w14:textId="40853976" w:rsidR="00B73D91" w:rsidRDefault="00B73D91" w:rsidP="00933259">
            <w:pPr>
              <w:rPr>
                <w:rFonts w:cstheme="minorHAnsi"/>
                <w:sz w:val="20"/>
                <w:szCs w:val="20"/>
              </w:rPr>
            </w:pPr>
            <w:r>
              <w:rPr>
                <w:rFonts w:cstheme="minorHAnsi"/>
                <w:sz w:val="20"/>
                <w:szCs w:val="20"/>
              </w:rPr>
              <w:t>Feedback Friday – Quality Round where all nursing leaders completed a patient experience survey with patients in their area and a staff survey to identify the culture for patient feedback</w:t>
            </w:r>
          </w:p>
          <w:p w14:paraId="43F63D51" w14:textId="4667C80F" w:rsidR="00B73D91" w:rsidRPr="00420A46" w:rsidRDefault="00B73D91" w:rsidP="00933259">
            <w:pPr>
              <w:rPr>
                <w:rFonts w:cstheme="minorHAnsi"/>
                <w:sz w:val="20"/>
                <w:szCs w:val="20"/>
              </w:rPr>
            </w:pPr>
          </w:p>
        </w:tc>
        <w:tc>
          <w:tcPr>
            <w:tcW w:w="2977" w:type="dxa"/>
          </w:tcPr>
          <w:p w14:paraId="589B298F" w14:textId="72589C85" w:rsidR="00B73D91" w:rsidRPr="00420A46" w:rsidRDefault="00B73D91" w:rsidP="00933259">
            <w:pPr>
              <w:rPr>
                <w:rFonts w:cstheme="minorHAnsi"/>
                <w:sz w:val="20"/>
                <w:szCs w:val="20"/>
              </w:rPr>
            </w:pPr>
            <w:r>
              <w:rPr>
                <w:rFonts w:cstheme="minorHAnsi"/>
                <w:sz w:val="20"/>
                <w:szCs w:val="20"/>
              </w:rPr>
              <w:lastRenderedPageBreak/>
              <w:t>Continued awareness sessions with staff, when needed, on a weekly basis based on key feedback themes per area</w:t>
            </w:r>
          </w:p>
        </w:tc>
        <w:tc>
          <w:tcPr>
            <w:tcW w:w="3363" w:type="dxa"/>
          </w:tcPr>
          <w:p w14:paraId="53964AAF" w14:textId="5CCADC52" w:rsidR="00B73D91" w:rsidRDefault="00B73D91" w:rsidP="00933259">
            <w:pPr>
              <w:rPr>
                <w:rFonts w:cstheme="minorHAnsi"/>
                <w:sz w:val="20"/>
                <w:szCs w:val="20"/>
              </w:rPr>
            </w:pPr>
            <w:r>
              <w:rPr>
                <w:rFonts w:cstheme="minorHAnsi"/>
                <w:sz w:val="20"/>
                <w:szCs w:val="20"/>
              </w:rPr>
              <w:t>Q4 satisfaction rate 88% and response rate 15% (1% and 2</w:t>
            </w:r>
            <w:r>
              <w:rPr>
                <w:rFonts w:cstheme="minorHAnsi"/>
                <w:sz w:val="20"/>
                <w:szCs w:val="20"/>
              </w:rPr>
              <w:br/>
              <w:t>% improvement vs Q3)</w:t>
            </w:r>
          </w:p>
          <w:p w14:paraId="47BBFF74" w14:textId="77777777" w:rsidR="00B73D91" w:rsidRDefault="00B73D91" w:rsidP="00933259">
            <w:pPr>
              <w:rPr>
                <w:rFonts w:cstheme="minorHAnsi"/>
                <w:sz w:val="20"/>
                <w:szCs w:val="20"/>
              </w:rPr>
            </w:pPr>
          </w:p>
          <w:p w14:paraId="1243E3DA" w14:textId="77777777" w:rsidR="00B73D91" w:rsidRDefault="00B73D91" w:rsidP="00933259">
            <w:pPr>
              <w:rPr>
                <w:rFonts w:cstheme="minorHAnsi"/>
                <w:sz w:val="20"/>
                <w:szCs w:val="20"/>
              </w:rPr>
            </w:pPr>
          </w:p>
          <w:p w14:paraId="5188EC73" w14:textId="77777777" w:rsidR="00B73D91" w:rsidRDefault="00B73D91" w:rsidP="00933259">
            <w:pPr>
              <w:rPr>
                <w:rFonts w:cstheme="minorHAnsi"/>
                <w:sz w:val="20"/>
                <w:szCs w:val="20"/>
              </w:rPr>
            </w:pPr>
          </w:p>
          <w:p w14:paraId="0CE3D1D8" w14:textId="77777777" w:rsidR="00B73D91" w:rsidRPr="00420A46" w:rsidRDefault="00B73D91" w:rsidP="00933259">
            <w:pPr>
              <w:rPr>
                <w:rFonts w:cstheme="minorHAnsi"/>
                <w:sz w:val="20"/>
                <w:szCs w:val="20"/>
              </w:rPr>
            </w:pPr>
            <w:r>
              <w:rPr>
                <w:rFonts w:cstheme="minorHAnsi"/>
                <w:sz w:val="20"/>
                <w:szCs w:val="20"/>
              </w:rPr>
              <w:t xml:space="preserve"> </w:t>
            </w:r>
          </w:p>
        </w:tc>
        <w:tc>
          <w:tcPr>
            <w:tcW w:w="2696" w:type="dxa"/>
          </w:tcPr>
          <w:p w14:paraId="444A1151" w14:textId="617AE44A" w:rsidR="00B73D91" w:rsidRDefault="00B73D91" w:rsidP="00933259">
            <w:pPr>
              <w:rPr>
                <w:rFonts w:cstheme="minorHAnsi"/>
                <w:sz w:val="20"/>
                <w:szCs w:val="20"/>
              </w:rPr>
            </w:pPr>
            <w:r>
              <w:rPr>
                <w:rFonts w:cstheme="minorHAnsi"/>
                <w:b/>
                <w:sz w:val="20"/>
                <w:szCs w:val="20"/>
              </w:rPr>
              <w:t xml:space="preserve">Risk – </w:t>
            </w:r>
            <w:r>
              <w:rPr>
                <w:rFonts w:cstheme="minorHAnsi"/>
                <w:sz w:val="20"/>
                <w:szCs w:val="20"/>
              </w:rPr>
              <w:t>currently there is a culture in some departments that FFT satisfaction and response rates are viewed as quantifiable targets as opposed to qualitative insights. For 24-25 and onwards, we need to support services with understanding their insight data more and how it can be used to influence change</w:t>
            </w:r>
          </w:p>
          <w:p w14:paraId="4982B44B" w14:textId="395CBB17" w:rsidR="00B73D91" w:rsidRPr="0085245C" w:rsidRDefault="00B73D91" w:rsidP="00933259">
            <w:pPr>
              <w:rPr>
                <w:rFonts w:cstheme="minorHAnsi"/>
                <w:sz w:val="20"/>
                <w:szCs w:val="20"/>
              </w:rPr>
            </w:pPr>
          </w:p>
        </w:tc>
      </w:tr>
      <w:tr w:rsidR="00B73D91" w14:paraId="3E8C09D1" w14:textId="77777777" w:rsidTr="00585437">
        <w:tc>
          <w:tcPr>
            <w:tcW w:w="1886" w:type="dxa"/>
          </w:tcPr>
          <w:p w14:paraId="0ACEB4DF" w14:textId="77777777" w:rsidR="00B73D91" w:rsidRDefault="00B73D91" w:rsidP="00933259">
            <w:pPr>
              <w:rPr>
                <w:rFonts w:cstheme="minorHAnsi"/>
                <w:sz w:val="20"/>
                <w:szCs w:val="20"/>
              </w:rPr>
            </w:pPr>
            <w:r>
              <w:rPr>
                <w:rFonts w:cstheme="minorHAnsi"/>
                <w:sz w:val="20"/>
                <w:szCs w:val="20"/>
              </w:rPr>
              <w:lastRenderedPageBreak/>
              <w:t>Ensure the Trust is responsive to patient feedback on public domain platforms</w:t>
            </w:r>
          </w:p>
        </w:tc>
        <w:tc>
          <w:tcPr>
            <w:tcW w:w="661" w:type="dxa"/>
            <w:shd w:val="clear" w:color="auto" w:fill="92D050"/>
          </w:tcPr>
          <w:p w14:paraId="2149F36D" w14:textId="77777777" w:rsidR="00B73D91" w:rsidRPr="00420A46" w:rsidRDefault="00B73D91" w:rsidP="00933259">
            <w:pPr>
              <w:rPr>
                <w:rFonts w:cstheme="minorHAnsi"/>
                <w:sz w:val="20"/>
                <w:szCs w:val="20"/>
              </w:rPr>
            </w:pPr>
          </w:p>
        </w:tc>
        <w:tc>
          <w:tcPr>
            <w:tcW w:w="2693" w:type="dxa"/>
          </w:tcPr>
          <w:p w14:paraId="36FD8B08" w14:textId="2110EC67" w:rsidR="00B73D91" w:rsidRPr="00420A46" w:rsidRDefault="00B73D91" w:rsidP="00933259">
            <w:pPr>
              <w:rPr>
                <w:rFonts w:cstheme="minorHAnsi"/>
                <w:sz w:val="20"/>
                <w:szCs w:val="20"/>
              </w:rPr>
            </w:pPr>
            <w:r w:rsidRPr="00420A46">
              <w:rPr>
                <w:rFonts w:cstheme="minorHAnsi"/>
                <w:sz w:val="20"/>
                <w:szCs w:val="20"/>
              </w:rPr>
              <w:t>Internal process developed within the patient experience team for reviewing, responding and disseminating public domain feedback to divisions</w:t>
            </w:r>
            <w:r>
              <w:rPr>
                <w:rFonts w:cstheme="minorHAnsi"/>
                <w:sz w:val="20"/>
                <w:szCs w:val="20"/>
              </w:rPr>
              <w:t>. Public domain feedback continues to be shared</w:t>
            </w:r>
          </w:p>
        </w:tc>
        <w:tc>
          <w:tcPr>
            <w:tcW w:w="2977" w:type="dxa"/>
          </w:tcPr>
          <w:p w14:paraId="37CB7857" w14:textId="076FD5C0" w:rsidR="00B73D91" w:rsidRPr="00420A46" w:rsidRDefault="00B73D91" w:rsidP="00933259">
            <w:pPr>
              <w:rPr>
                <w:rFonts w:cstheme="minorHAnsi"/>
                <w:sz w:val="20"/>
                <w:szCs w:val="20"/>
              </w:rPr>
            </w:pPr>
            <w:r>
              <w:rPr>
                <w:rFonts w:cstheme="minorHAnsi"/>
                <w:sz w:val="20"/>
                <w:szCs w:val="20"/>
              </w:rPr>
              <w:t>As of January 2024, NHSE restrictions have prevented trusts from responding to google review feedback. CareOpinion feedback continues to be shared where relevant with divisions.</w:t>
            </w:r>
          </w:p>
        </w:tc>
        <w:tc>
          <w:tcPr>
            <w:tcW w:w="3363" w:type="dxa"/>
          </w:tcPr>
          <w:p w14:paraId="13D4718F" w14:textId="77777777" w:rsidR="00B73D91" w:rsidRPr="00420A46" w:rsidRDefault="00B73D91" w:rsidP="00933259">
            <w:pPr>
              <w:rPr>
                <w:rFonts w:cstheme="minorHAnsi"/>
                <w:sz w:val="20"/>
                <w:szCs w:val="20"/>
              </w:rPr>
            </w:pPr>
            <w:r>
              <w:rPr>
                <w:rFonts w:cstheme="minorHAnsi"/>
                <w:sz w:val="20"/>
                <w:szCs w:val="20"/>
              </w:rPr>
              <w:t>Triangulation with other feedback data has helped identify where key priorities need to be e.g A&amp;E at West Middlesex, Maternity</w:t>
            </w:r>
          </w:p>
        </w:tc>
        <w:tc>
          <w:tcPr>
            <w:tcW w:w="2696" w:type="dxa"/>
          </w:tcPr>
          <w:p w14:paraId="58152728" w14:textId="6DE589A1" w:rsidR="00B73D91" w:rsidRPr="00420A46" w:rsidRDefault="00B73D91" w:rsidP="00933259">
            <w:pPr>
              <w:rPr>
                <w:rFonts w:cstheme="minorHAnsi"/>
                <w:sz w:val="20"/>
                <w:szCs w:val="20"/>
              </w:rPr>
            </w:pPr>
            <w:r>
              <w:rPr>
                <w:rFonts w:cstheme="minorHAnsi"/>
                <w:sz w:val="20"/>
                <w:szCs w:val="20"/>
              </w:rPr>
              <w:t>Continue to share as normal and support services with understanding the insights of this data</w:t>
            </w:r>
          </w:p>
        </w:tc>
      </w:tr>
      <w:tr w:rsidR="00B73D91" w14:paraId="123E3E5F" w14:textId="77777777" w:rsidTr="00585437">
        <w:tc>
          <w:tcPr>
            <w:tcW w:w="1886" w:type="dxa"/>
          </w:tcPr>
          <w:p w14:paraId="1D615A10" w14:textId="77777777" w:rsidR="00B73D91" w:rsidRDefault="00B73D91" w:rsidP="00933259">
            <w:pPr>
              <w:rPr>
                <w:rFonts w:cstheme="minorHAnsi"/>
                <w:sz w:val="20"/>
                <w:szCs w:val="20"/>
              </w:rPr>
            </w:pPr>
            <w:r>
              <w:rPr>
                <w:rFonts w:cstheme="minorHAnsi"/>
                <w:sz w:val="20"/>
                <w:szCs w:val="20"/>
              </w:rPr>
              <w:t xml:space="preserve">Act on national patient survey results </w:t>
            </w:r>
          </w:p>
        </w:tc>
        <w:tc>
          <w:tcPr>
            <w:tcW w:w="661" w:type="dxa"/>
            <w:shd w:val="clear" w:color="auto" w:fill="92D050"/>
          </w:tcPr>
          <w:p w14:paraId="4F9BF5B7" w14:textId="77777777" w:rsidR="00B73D91" w:rsidRDefault="00B73D91" w:rsidP="00933259">
            <w:pPr>
              <w:rPr>
                <w:rFonts w:cstheme="minorHAnsi"/>
                <w:sz w:val="20"/>
                <w:szCs w:val="20"/>
              </w:rPr>
            </w:pPr>
          </w:p>
        </w:tc>
        <w:tc>
          <w:tcPr>
            <w:tcW w:w="2693" w:type="dxa"/>
          </w:tcPr>
          <w:p w14:paraId="4F3BF037" w14:textId="2D0C656E" w:rsidR="00B73D91" w:rsidRDefault="00B73D91" w:rsidP="00933259">
            <w:pPr>
              <w:rPr>
                <w:rFonts w:cstheme="minorHAnsi"/>
                <w:sz w:val="20"/>
                <w:szCs w:val="20"/>
              </w:rPr>
            </w:pPr>
            <w:r>
              <w:rPr>
                <w:rFonts w:cstheme="minorHAnsi"/>
                <w:sz w:val="20"/>
                <w:szCs w:val="20"/>
              </w:rPr>
              <w:t>In Q1-Q3 the trust was in receipt of the following:</w:t>
            </w:r>
          </w:p>
          <w:p w14:paraId="4CB01EC4" w14:textId="77777777" w:rsidR="00B73D91" w:rsidRDefault="00B73D91" w:rsidP="004540A7">
            <w:pPr>
              <w:pStyle w:val="ListParagraph"/>
              <w:numPr>
                <w:ilvl w:val="0"/>
                <w:numId w:val="7"/>
              </w:numPr>
              <w:rPr>
                <w:rFonts w:cstheme="minorHAnsi"/>
                <w:sz w:val="20"/>
                <w:szCs w:val="20"/>
              </w:rPr>
            </w:pPr>
            <w:r>
              <w:rPr>
                <w:rFonts w:cstheme="minorHAnsi"/>
                <w:sz w:val="20"/>
                <w:szCs w:val="20"/>
              </w:rPr>
              <w:t>National cancer 2022 survey results</w:t>
            </w:r>
          </w:p>
          <w:p w14:paraId="40D9B6F1" w14:textId="77777777" w:rsidR="00B73D91" w:rsidRDefault="00B73D91" w:rsidP="004540A7">
            <w:pPr>
              <w:pStyle w:val="ListParagraph"/>
              <w:numPr>
                <w:ilvl w:val="0"/>
                <w:numId w:val="7"/>
              </w:numPr>
              <w:rPr>
                <w:rFonts w:cstheme="minorHAnsi"/>
                <w:sz w:val="20"/>
                <w:szCs w:val="20"/>
              </w:rPr>
            </w:pPr>
            <w:r>
              <w:rPr>
                <w:rFonts w:cstheme="minorHAnsi"/>
                <w:sz w:val="20"/>
                <w:szCs w:val="20"/>
              </w:rPr>
              <w:t>National stroke 2022 survey results</w:t>
            </w:r>
          </w:p>
          <w:p w14:paraId="796EEBA6" w14:textId="77777777" w:rsidR="00B73D91" w:rsidRDefault="00B73D91" w:rsidP="004540A7">
            <w:pPr>
              <w:pStyle w:val="ListParagraph"/>
              <w:numPr>
                <w:ilvl w:val="0"/>
                <w:numId w:val="7"/>
              </w:numPr>
              <w:rPr>
                <w:rFonts w:cstheme="minorHAnsi"/>
                <w:sz w:val="20"/>
                <w:szCs w:val="20"/>
              </w:rPr>
            </w:pPr>
            <w:r>
              <w:rPr>
                <w:rFonts w:cstheme="minorHAnsi"/>
                <w:sz w:val="20"/>
                <w:szCs w:val="20"/>
              </w:rPr>
              <w:t>National inpatient 2022 survey results</w:t>
            </w:r>
          </w:p>
          <w:p w14:paraId="0A2AE769" w14:textId="77777777" w:rsidR="00B73D91" w:rsidRDefault="00B73D91" w:rsidP="004540A7">
            <w:pPr>
              <w:pStyle w:val="ListParagraph"/>
              <w:numPr>
                <w:ilvl w:val="0"/>
                <w:numId w:val="7"/>
              </w:numPr>
              <w:rPr>
                <w:rFonts w:cstheme="minorHAnsi"/>
                <w:sz w:val="20"/>
                <w:szCs w:val="20"/>
              </w:rPr>
            </w:pPr>
            <w:r>
              <w:rPr>
                <w:rFonts w:cstheme="minorHAnsi"/>
                <w:sz w:val="20"/>
                <w:szCs w:val="20"/>
              </w:rPr>
              <w:t>National UEC 2022 survey results</w:t>
            </w:r>
          </w:p>
          <w:p w14:paraId="6534068B" w14:textId="77777777" w:rsidR="00B73D91" w:rsidRDefault="00B73D91" w:rsidP="004540A7">
            <w:pPr>
              <w:pStyle w:val="ListParagraph"/>
              <w:numPr>
                <w:ilvl w:val="0"/>
                <w:numId w:val="7"/>
              </w:numPr>
              <w:rPr>
                <w:rFonts w:cstheme="minorHAnsi"/>
                <w:sz w:val="20"/>
                <w:szCs w:val="20"/>
              </w:rPr>
            </w:pPr>
            <w:r>
              <w:rPr>
                <w:rFonts w:cstheme="minorHAnsi"/>
                <w:sz w:val="20"/>
                <w:szCs w:val="20"/>
              </w:rPr>
              <w:t>Internal maternity 2023 results</w:t>
            </w:r>
          </w:p>
          <w:p w14:paraId="579019CE" w14:textId="3244DDD4" w:rsidR="00B73D91" w:rsidRPr="002361F5" w:rsidRDefault="00B73D91" w:rsidP="002361F5">
            <w:pPr>
              <w:rPr>
                <w:rFonts w:cstheme="minorHAnsi"/>
                <w:sz w:val="20"/>
                <w:szCs w:val="20"/>
              </w:rPr>
            </w:pPr>
            <w:r>
              <w:rPr>
                <w:rFonts w:cstheme="minorHAnsi"/>
                <w:sz w:val="20"/>
                <w:szCs w:val="20"/>
              </w:rPr>
              <w:t>Action planning support provided to divisions to understanding the survey insights and areas for improvements</w:t>
            </w:r>
          </w:p>
        </w:tc>
        <w:tc>
          <w:tcPr>
            <w:tcW w:w="2977" w:type="dxa"/>
          </w:tcPr>
          <w:p w14:paraId="6674AE52" w14:textId="77777777" w:rsidR="00B73D91" w:rsidRDefault="00B73D91" w:rsidP="00933259">
            <w:pPr>
              <w:rPr>
                <w:rFonts w:cstheme="minorHAnsi"/>
                <w:sz w:val="20"/>
                <w:szCs w:val="20"/>
              </w:rPr>
            </w:pPr>
            <w:r>
              <w:rPr>
                <w:rFonts w:cstheme="minorHAnsi"/>
                <w:sz w:val="20"/>
                <w:szCs w:val="20"/>
              </w:rPr>
              <w:t>CQC published the national benchmarking report for the maternity 2023 survey. Results shared with trust and used for improvement action planning</w:t>
            </w:r>
          </w:p>
          <w:p w14:paraId="4E3ADC96" w14:textId="558E4DB1" w:rsidR="00B73D91" w:rsidRPr="00420A46" w:rsidRDefault="00B73D91" w:rsidP="00933259">
            <w:pPr>
              <w:rPr>
                <w:rFonts w:cstheme="minorHAnsi"/>
                <w:sz w:val="20"/>
                <w:szCs w:val="20"/>
              </w:rPr>
            </w:pPr>
            <w:r>
              <w:rPr>
                <w:rFonts w:cstheme="minorHAnsi"/>
                <w:sz w:val="20"/>
                <w:szCs w:val="20"/>
              </w:rPr>
              <w:t>UEC and Maternity patient accessing care in Q4 could be selected to take part in the 2024 survey iterations</w:t>
            </w:r>
          </w:p>
        </w:tc>
        <w:tc>
          <w:tcPr>
            <w:tcW w:w="3363" w:type="dxa"/>
          </w:tcPr>
          <w:p w14:paraId="432D3DC9" w14:textId="77777777" w:rsidR="00B73D91" w:rsidRPr="00420A46" w:rsidRDefault="00B73D91" w:rsidP="00933259">
            <w:pPr>
              <w:rPr>
                <w:rFonts w:cstheme="minorHAnsi"/>
                <w:sz w:val="20"/>
                <w:szCs w:val="20"/>
              </w:rPr>
            </w:pPr>
            <w:r>
              <w:rPr>
                <w:rFonts w:cstheme="minorHAnsi"/>
                <w:sz w:val="20"/>
                <w:szCs w:val="20"/>
              </w:rPr>
              <w:t>National survey results, triangulated with other feedback, has helped support improvement initiatives and prioritise areas of focus for patient experience within divisions or areas</w:t>
            </w:r>
          </w:p>
        </w:tc>
        <w:tc>
          <w:tcPr>
            <w:tcW w:w="2696" w:type="dxa"/>
          </w:tcPr>
          <w:p w14:paraId="39A812F3" w14:textId="5F6585F8" w:rsidR="00B73D91" w:rsidRPr="001E1B47" w:rsidRDefault="00B73D91" w:rsidP="00933259">
            <w:pPr>
              <w:rPr>
                <w:rFonts w:cstheme="minorHAnsi"/>
                <w:sz w:val="20"/>
                <w:szCs w:val="20"/>
              </w:rPr>
            </w:pPr>
            <w:r w:rsidRPr="0085245C">
              <w:rPr>
                <w:rFonts w:cstheme="minorHAnsi"/>
                <w:sz w:val="20"/>
                <w:szCs w:val="20"/>
              </w:rPr>
              <w:t xml:space="preserve">Continue to ensure the Trust takes part in the national survey programme, </w:t>
            </w:r>
            <w:r>
              <w:rPr>
                <w:rFonts w:cstheme="minorHAnsi"/>
                <w:sz w:val="20"/>
                <w:szCs w:val="20"/>
              </w:rPr>
              <w:t xml:space="preserve">share results with divisional/service leads and support with action planning using the other patient experience data </w:t>
            </w:r>
          </w:p>
          <w:p w14:paraId="7FEBC053" w14:textId="77777777" w:rsidR="00B73D91" w:rsidRPr="001E1B47" w:rsidRDefault="00B73D91" w:rsidP="00933259">
            <w:pPr>
              <w:rPr>
                <w:rFonts w:cstheme="minorHAnsi"/>
                <w:sz w:val="20"/>
                <w:szCs w:val="20"/>
              </w:rPr>
            </w:pPr>
          </w:p>
        </w:tc>
      </w:tr>
    </w:tbl>
    <w:p w14:paraId="78EB6CB1" w14:textId="77777777" w:rsidR="00BC7091" w:rsidRDefault="00BC7091" w:rsidP="00BC7091">
      <w:pPr>
        <w:rPr>
          <w:rFonts w:cstheme="minorHAnsi"/>
          <w:sz w:val="20"/>
          <w:szCs w:val="20"/>
        </w:rPr>
      </w:pPr>
    </w:p>
    <w:p w14:paraId="7AB5CC9D" w14:textId="77777777" w:rsidR="00BC7091" w:rsidRDefault="00BC7091" w:rsidP="00BC7091">
      <w:pPr>
        <w:rPr>
          <w:rFonts w:cstheme="minorHAnsi"/>
          <w:b/>
          <w:sz w:val="20"/>
          <w:szCs w:val="20"/>
        </w:rPr>
      </w:pPr>
    </w:p>
    <w:p w14:paraId="3D7217B7" w14:textId="77777777" w:rsidR="001069D0" w:rsidRDefault="001069D0" w:rsidP="00BC7091">
      <w:pPr>
        <w:rPr>
          <w:rFonts w:cstheme="minorHAnsi"/>
          <w:sz w:val="20"/>
          <w:szCs w:val="20"/>
        </w:rPr>
      </w:pPr>
    </w:p>
    <w:p w14:paraId="31CFCF25" w14:textId="2D660247" w:rsidR="00BC7091" w:rsidRDefault="00BC7091" w:rsidP="00BC7091">
      <w:pPr>
        <w:rPr>
          <w:i/>
        </w:rPr>
      </w:pPr>
      <w:r>
        <w:rPr>
          <w:rFonts w:cs="Arial"/>
          <w:b/>
        </w:rPr>
        <w:lastRenderedPageBreak/>
        <w:br/>
      </w:r>
      <w:r>
        <w:rPr>
          <w:rFonts w:cs="Arial"/>
          <w:noProof/>
          <w:lang w:eastAsia="en-GB"/>
        </w:rPr>
        <w:drawing>
          <wp:anchor distT="0" distB="0" distL="114300" distR="114300" simplePos="0" relativeHeight="251660288" behindDoc="0" locked="0" layoutInCell="1" allowOverlap="1" wp14:anchorId="70B7EAF5" wp14:editId="5ABDB2E9">
            <wp:simplePos x="0" y="0"/>
            <wp:positionH relativeFrom="column">
              <wp:posOffset>0</wp:posOffset>
            </wp:positionH>
            <wp:positionV relativeFrom="paragraph">
              <wp:posOffset>0</wp:posOffset>
            </wp:positionV>
            <wp:extent cx="719403" cy="720000"/>
            <wp:effectExtent l="0" t="0" r="5080" b="4445"/>
            <wp:wrapSquare wrapText="bothSides"/>
            <wp:docPr id="49" name="Picture 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6"/>
                    <a:stretch>
                      <a:fillRect/>
                    </a:stretch>
                  </pic:blipFill>
                  <pic:spPr>
                    <a:xfrm>
                      <a:off x="0" y="0"/>
                      <a:ext cx="719403" cy="720000"/>
                    </a:xfrm>
                    <a:prstGeom prst="rect">
                      <a:avLst/>
                    </a:prstGeom>
                  </pic:spPr>
                </pic:pic>
              </a:graphicData>
            </a:graphic>
            <wp14:sizeRelH relativeFrom="page">
              <wp14:pctWidth>0</wp14:pctWidth>
            </wp14:sizeRelH>
            <wp14:sizeRelV relativeFrom="page">
              <wp14:pctHeight>0</wp14:pctHeight>
            </wp14:sizeRelV>
          </wp:anchor>
        </w:drawing>
      </w:r>
      <w:r w:rsidRPr="00BE22CD">
        <w:rPr>
          <w:b/>
          <w:bCs/>
        </w:rPr>
        <w:t>Strategic Objective Three:</w:t>
      </w:r>
      <w:r w:rsidRPr="00F940BD">
        <w:t xml:space="preserve"> Creating a culture – </w:t>
      </w:r>
      <w:r w:rsidRPr="00F940BD">
        <w:rPr>
          <w:i/>
        </w:rPr>
        <w:t>“Moving patient experience to the spotlight”</w:t>
      </w:r>
    </w:p>
    <w:p w14:paraId="0C4A9E21" w14:textId="77777777" w:rsidR="00BC7091" w:rsidRDefault="00BC7091" w:rsidP="00BC7091">
      <w:pPr>
        <w:rPr>
          <w:rFonts w:cstheme="minorHAnsi"/>
          <w:sz w:val="20"/>
          <w:szCs w:val="20"/>
        </w:rPr>
      </w:pPr>
    </w:p>
    <w:tbl>
      <w:tblPr>
        <w:tblStyle w:val="TableGrid"/>
        <w:tblW w:w="0" w:type="auto"/>
        <w:tblLook w:val="04A0" w:firstRow="1" w:lastRow="0" w:firstColumn="1" w:lastColumn="0" w:noHBand="0" w:noVBand="1"/>
      </w:tblPr>
      <w:tblGrid>
        <w:gridCol w:w="1985"/>
        <w:gridCol w:w="661"/>
        <w:gridCol w:w="2878"/>
        <w:gridCol w:w="3118"/>
        <w:gridCol w:w="3229"/>
        <w:gridCol w:w="2405"/>
      </w:tblGrid>
      <w:tr w:rsidR="005A5E00" w14:paraId="2DFF88E1" w14:textId="77777777" w:rsidTr="00E11680">
        <w:tc>
          <w:tcPr>
            <w:tcW w:w="14276" w:type="dxa"/>
            <w:gridSpan w:val="6"/>
          </w:tcPr>
          <w:p w14:paraId="25A109BE" w14:textId="1FA417BB" w:rsidR="005A5E00" w:rsidRDefault="005A5E00" w:rsidP="00933259">
            <w:pPr>
              <w:jc w:val="center"/>
              <w:rPr>
                <w:rFonts w:cstheme="minorHAnsi"/>
                <w:b/>
                <w:sz w:val="20"/>
                <w:szCs w:val="20"/>
              </w:rPr>
            </w:pPr>
            <w:r>
              <w:rPr>
                <w:rFonts w:cstheme="minorHAnsi"/>
                <w:b/>
                <w:szCs w:val="20"/>
              </w:rPr>
              <w:t>Objective 3 - 2023-24 Forward Plan Actions</w:t>
            </w:r>
          </w:p>
        </w:tc>
      </w:tr>
      <w:tr w:rsidR="005A5E00" w14:paraId="2EC74E16" w14:textId="77777777" w:rsidTr="005A5E00">
        <w:tc>
          <w:tcPr>
            <w:tcW w:w="1985" w:type="dxa"/>
          </w:tcPr>
          <w:p w14:paraId="3F32E4D3" w14:textId="77777777" w:rsidR="005A5E00" w:rsidRPr="007F775F" w:rsidRDefault="005A5E00" w:rsidP="001069D0">
            <w:pPr>
              <w:rPr>
                <w:rFonts w:cstheme="minorHAnsi"/>
                <w:b/>
                <w:sz w:val="20"/>
                <w:szCs w:val="20"/>
              </w:rPr>
            </w:pPr>
            <w:r>
              <w:rPr>
                <w:rFonts w:cstheme="minorHAnsi"/>
                <w:b/>
                <w:sz w:val="20"/>
                <w:szCs w:val="20"/>
              </w:rPr>
              <w:t>What did we say we would do?</w:t>
            </w:r>
          </w:p>
        </w:tc>
        <w:tc>
          <w:tcPr>
            <w:tcW w:w="661" w:type="dxa"/>
          </w:tcPr>
          <w:p w14:paraId="0DEB7ECB" w14:textId="4AF9BC94" w:rsidR="005A5E00" w:rsidRDefault="005A5E00" w:rsidP="001069D0">
            <w:pPr>
              <w:rPr>
                <w:rFonts w:cstheme="minorHAnsi"/>
                <w:b/>
                <w:sz w:val="20"/>
                <w:szCs w:val="20"/>
              </w:rPr>
            </w:pPr>
            <w:r>
              <w:rPr>
                <w:rFonts w:cstheme="minorHAnsi"/>
                <w:b/>
                <w:sz w:val="20"/>
                <w:szCs w:val="20"/>
              </w:rPr>
              <w:t>RAG</w:t>
            </w:r>
          </w:p>
        </w:tc>
        <w:tc>
          <w:tcPr>
            <w:tcW w:w="2878" w:type="dxa"/>
          </w:tcPr>
          <w:p w14:paraId="1E813843" w14:textId="2DA429FC" w:rsidR="005A5E00" w:rsidRPr="007F775F" w:rsidRDefault="005A5E00" w:rsidP="001069D0">
            <w:pPr>
              <w:rPr>
                <w:rFonts w:cstheme="minorHAnsi"/>
                <w:b/>
                <w:sz w:val="20"/>
                <w:szCs w:val="20"/>
              </w:rPr>
            </w:pPr>
            <w:r>
              <w:rPr>
                <w:rFonts w:cstheme="minorHAnsi"/>
                <w:b/>
                <w:sz w:val="20"/>
                <w:szCs w:val="20"/>
              </w:rPr>
              <w:t>Q1, Q2 &amp; Q3 activities</w:t>
            </w:r>
          </w:p>
        </w:tc>
        <w:tc>
          <w:tcPr>
            <w:tcW w:w="3118" w:type="dxa"/>
          </w:tcPr>
          <w:p w14:paraId="5E58325D" w14:textId="0087F9A7" w:rsidR="005A5E00" w:rsidRDefault="005A5E00" w:rsidP="001069D0">
            <w:pPr>
              <w:rPr>
                <w:rFonts w:cstheme="minorHAnsi"/>
                <w:b/>
                <w:sz w:val="20"/>
                <w:szCs w:val="20"/>
              </w:rPr>
            </w:pPr>
            <w:r>
              <w:rPr>
                <w:rFonts w:cstheme="minorHAnsi"/>
                <w:b/>
                <w:sz w:val="20"/>
                <w:szCs w:val="20"/>
              </w:rPr>
              <w:t>Q4 – what have we done?</w:t>
            </w:r>
          </w:p>
        </w:tc>
        <w:tc>
          <w:tcPr>
            <w:tcW w:w="3229" w:type="dxa"/>
          </w:tcPr>
          <w:p w14:paraId="7890F352" w14:textId="77777777" w:rsidR="005A5E00" w:rsidRDefault="005A5E00" w:rsidP="001069D0">
            <w:pPr>
              <w:rPr>
                <w:rFonts w:cstheme="minorHAnsi"/>
                <w:b/>
                <w:sz w:val="20"/>
                <w:szCs w:val="20"/>
              </w:rPr>
            </w:pPr>
            <w:r>
              <w:rPr>
                <w:rFonts w:cstheme="minorHAnsi"/>
                <w:b/>
                <w:sz w:val="20"/>
                <w:szCs w:val="20"/>
              </w:rPr>
              <w:t>Impact</w:t>
            </w:r>
          </w:p>
        </w:tc>
        <w:tc>
          <w:tcPr>
            <w:tcW w:w="2405" w:type="dxa"/>
          </w:tcPr>
          <w:p w14:paraId="6BD39350" w14:textId="77777777" w:rsidR="005A5E00" w:rsidRPr="007F775F" w:rsidRDefault="005A5E00" w:rsidP="001069D0">
            <w:pPr>
              <w:rPr>
                <w:rFonts w:cstheme="minorHAnsi"/>
                <w:b/>
                <w:sz w:val="20"/>
                <w:szCs w:val="20"/>
              </w:rPr>
            </w:pPr>
            <w:r>
              <w:rPr>
                <w:rFonts w:cstheme="minorHAnsi"/>
                <w:b/>
                <w:sz w:val="20"/>
                <w:szCs w:val="20"/>
              </w:rPr>
              <w:t>Recommendations or risks</w:t>
            </w:r>
          </w:p>
        </w:tc>
      </w:tr>
      <w:tr w:rsidR="005A5E00" w14:paraId="10ADC61C" w14:textId="77777777" w:rsidTr="005A5E00">
        <w:tc>
          <w:tcPr>
            <w:tcW w:w="1985" w:type="dxa"/>
          </w:tcPr>
          <w:p w14:paraId="2F0B7CBB" w14:textId="77777777" w:rsidR="005A5E00" w:rsidRPr="00016139" w:rsidRDefault="005A5E00" w:rsidP="00933259">
            <w:pPr>
              <w:rPr>
                <w:rFonts w:cstheme="minorHAnsi"/>
                <w:sz w:val="20"/>
                <w:szCs w:val="20"/>
              </w:rPr>
            </w:pPr>
            <w:r>
              <w:rPr>
                <w:rFonts w:cstheme="minorHAnsi"/>
                <w:sz w:val="20"/>
                <w:szCs w:val="20"/>
              </w:rPr>
              <w:t>Development, implement and integration of a Patient Experience Accreditation</w:t>
            </w:r>
          </w:p>
        </w:tc>
        <w:tc>
          <w:tcPr>
            <w:tcW w:w="661" w:type="dxa"/>
            <w:shd w:val="clear" w:color="auto" w:fill="0070C0"/>
          </w:tcPr>
          <w:p w14:paraId="2CAA28DB" w14:textId="77777777" w:rsidR="005A5E00" w:rsidRDefault="005A5E00" w:rsidP="00933259">
            <w:pPr>
              <w:rPr>
                <w:rFonts w:cstheme="minorHAnsi"/>
                <w:sz w:val="20"/>
                <w:szCs w:val="20"/>
              </w:rPr>
            </w:pPr>
          </w:p>
        </w:tc>
        <w:tc>
          <w:tcPr>
            <w:tcW w:w="2878" w:type="dxa"/>
          </w:tcPr>
          <w:p w14:paraId="787CFECC" w14:textId="1E6BE7D9" w:rsidR="005A5E00" w:rsidRDefault="005A5E00" w:rsidP="00933259">
            <w:pPr>
              <w:rPr>
                <w:rFonts w:cstheme="minorHAnsi"/>
                <w:sz w:val="20"/>
                <w:szCs w:val="20"/>
              </w:rPr>
            </w:pPr>
            <w:r>
              <w:rPr>
                <w:rFonts w:cstheme="minorHAnsi"/>
                <w:sz w:val="20"/>
                <w:szCs w:val="20"/>
              </w:rPr>
              <w:t>Patient experience has been integrated into the trust ward accreditation tool and the location specific questions have helped elicit greater insights into experiences of patients.</w:t>
            </w:r>
          </w:p>
          <w:p w14:paraId="6E47D131" w14:textId="6327EC27" w:rsidR="005A5E00" w:rsidRDefault="005A5E00" w:rsidP="00933259">
            <w:pPr>
              <w:rPr>
                <w:rFonts w:cstheme="minorHAnsi"/>
                <w:sz w:val="20"/>
                <w:szCs w:val="20"/>
              </w:rPr>
            </w:pPr>
            <w:r>
              <w:rPr>
                <w:rFonts w:cstheme="minorHAnsi"/>
                <w:sz w:val="20"/>
                <w:szCs w:val="20"/>
              </w:rPr>
              <w:t>A total of 32 areas have been assessed as part of the ward accreditation programme in Q1 and Q2 and the results have helped support improvement initiatives around noise at night, protected meal times and a welcome pack.</w:t>
            </w:r>
          </w:p>
          <w:p w14:paraId="59EF8B7D" w14:textId="77777777" w:rsidR="005A5E00" w:rsidRDefault="005A5E00" w:rsidP="001069D0">
            <w:pPr>
              <w:rPr>
                <w:rFonts w:cstheme="minorHAnsi"/>
                <w:sz w:val="20"/>
                <w:szCs w:val="20"/>
              </w:rPr>
            </w:pPr>
            <w:r>
              <w:rPr>
                <w:rFonts w:cstheme="minorHAnsi"/>
                <w:sz w:val="20"/>
                <w:szCs w:val="20"/>
              </w:rPr>
              <w:t>24 locations accredited in Q3, which were predominantly outpatient areas</w:t>
            </w:r>
          </w:p>
          <w:p w14:paraId="0D9B8BAF" w14:textId="77777777" w:rsidR="005A5E00" w:rsidRDefault="005A5E00" w:rsidP="00933259">
            <w:pPr>
              <w:rPr>
                <w:rFonts w:cstheme="minorHAnsi"/>
                <w:sz w:val="20"/>
                <w:szCs w:val="20"/>
              </w:rPr>
            </w:pPr>
          </w:p>
          <w:p w14:paraId="54313305" w14:textId="77777777" w:rsidR="005A5E00" w:rsidRDefault="005A5E00" w:rsidP="00933259">
            <w:pPr>
              <w:rPr>
                <w:rFonts w:cstheme="minorHAnsi"/>
                <w:sz w:val="20"/>
                <w:szCs w:val="20"/>
              </w:rPr>
            </w:pPr>
          </w:p>
          <w:p w14:paraId="7E7F2825" w14:textId="77777777" w:rsidR="005A5E00" w:rsidRDefault="005A5E00" w:rsidP="00933259">
            <w:pPr>
              <w:rPr>
                <w:rFonts w:cstheme="minorHAnsi"/>
                <w:sz w:val="20"/>
                <w:szCs w:val="20"/>
              </w:rPr>
            </w:pPr>
          </w:p>
          <w:p w14:paraId="6F3411C5" w14:textId="77777777" w:rsidR="005A5E00" w:rsidRPr="00672231" w:rsidRDefault="005A5E00" w:rsidP="00933259">
            <w:pPr>
              <w:rPr>
                <w:rFonts w:cstheme="minorHAnsi"/>
                <w:sz w:val="20"/>
                <w:szCs w:val="20"/>
              </w:rPr>
            </w:pPr>
          </w:p>
        </w:tc>
        <w:tc>
          <w:tcPr>
            <w:tcW w:w="3118" w:type="dxa"/>
          </w:tcPr>
          <w:p w14:paraId="3B9A95FF" w14:textId="1956D4BE" w:rsidR="005A5E00" w:rsidRDefault="005A5E00" w:rsidP="00933259">
            <w:pPr>
              <w:rPr>
                <w:rFonts w:cstheme="minorHAnsi"/>
                <w:sz w:val="20"/>
                <w:szCs w:val="20"/>
              </w:rPr>
            </w:pPr>
            <w:r>
              <w:rPr>
                <w:rFonts w:cstheme="minorHAnsi"/>
                <w:sz w:val="20"/>
                <w:szCs w:val="20"/>
              </w:rPr>
              <w:lastRenderedPageBreak/>
              <w:t xml:space="preserve">All remaining ward accreditations undertaken (n-53), including outpatients, sexual health, imaging, maternity and medical photography </w:t>
            </w:r>
          </w:p>
          <w:p w14:paraId="347932FA" w14:textId="77777777" w:rsidR="005A5E00" w:rsidRPr="003E4D36" w:rsidRDefault="005A5E00" w:rsidP="00933259">
            <w:pPr>
              <w:rPr>
                <w:rFonts w:cstheme="minorHAnsi"/>
                <w:sz w:val="20"/>
                <w:szCs w:val="20"/>
              </w:rPr>
            </w:pPr>
          </w:p>
        </w:tc>
        <w:tc>
          <w:tcPr>
            <w:tcW w:w="3229" w:type="dxa"/>
          </w:tcPr>
          <w:p w14:paraId="6C09BD79" w14:textId="0DFFD752" w:rsidR="005A5E00" w:rsidRPr="00FD2C22" w:rsidRDefault="005A5E00" w:rsidP="00F14793">
            <w:pPr>
              <w:rPr>
                <w:rFonts w:cstheme="minorHAnsi"/>
                <w:sz w:val="20"/>
                <w:szCs w:val="20"/>
              </w:rPr>
            </w:pPr>
            <w:r>
              <w:rPr>
                <w:rFonts w:cstheme="minorHAnsi"/>
                <w:sz w:val="20"/>
                <w:szCs w:val="20"/>
              </w:rPr>
              <w:t xml:space="preserve">The patient experience questions and results continue to provide services with insights into patient experience; assurance on what is working well and areas for improvements. </w:t>
            </w:r>
          </w:p>
        </w:tc>
        <w:tc>
          <w:tcPr>
            <w:tcW w:w="2405" w:type="dxa"/>
          </w:tcPr>
          <w:p w14:paraId="7CF45912" w14:textId="77777777" w:rsidR="005A5E00" w:rsidRDefault="005A5E00" w:rsidP="004C31D6">
            <w:pPr>
              <w:spacing w:after="0"/>
              <w:rPr>
                <w:rFonts w:cstheme="minorHAnsi"/>
                <w:sz w:val="20"/>
                <w:szCs w:val="20"/>
              </w:rPr>
            </w:pPr>
            <w:r w:rsidRPr="00F14793">
              <w:rPr>
                <w:rFonts w:cstheme="minorHAnsi"/>
                <w:sz w:val="20"/>
                <w:szCs w:val="20"/>
              </w:rPr>
              <w:t>Currently</w:t>
            </w:r>
            <w:r>
              <w:rPr>
                <w:rFonts w:cstheme="minorHAnsi"/>
                <w:b/>
                <w:sz w:val="20"/>
                <w:szCs w:val="20"/>
              </w:rPr>
              <w:t xml:space="preserve"> </w:t>
            </w:r>
            <w:r>
              <w:rPr>
                <w:rFonts w:cstheme="minorHAnsi"/>
                <w:sz w:val="20"/>
                <w:szCs w:val="20"/>
              </w:rPr>
              <w:t>there is no central visibility of all the patient experience data collected from ward accreditation, in order for this to be triangulated with other experience data. The risk is that potential patient experience improvements will be ineffective as it only gives a small snapshot in time</w:t>
            </w:r>
          </w:p>
          <w:p w14:paraId="6D2B5504" w14:textId="77777777" w:rsidR="005A5E00" w:rsidRDefault="005A5E00" w:rsidP="004C31D6">
            <w:pPr>
              <w:spacing w:after="0"/>
              <w:rPr>
                <w:rFonts w:cstheme="minorHAnsi"/>
                <w:sz w:val="20"/>
                <w:szCs w:val="20"/>
              </w:rPr>
            </w:pPr>
          </w:p>
          <w:p w14:paraId="325F64E0" w14:textId="7483D8E1" w:rsidR="005A5E00" w:rsidRPr="00F14793" w:rsidRDefault="005A5E00" w:rsidP="004C31D6">
            <w:pPr>
              <w:spacing w:after="0"/>
              <w:rPr>
                <w:rFonts w:cstheme="minorHAnsi"/>
                <w:sz w:val="20"/>
                <w:szCs w:val="20"/>
              </w:rPr>
            </w:pPr>
            <w:r>
              <w:rPr>
                <w:rFonts w:cstheme="minorHAnsi"/>
                <w:sz w:val="20"/>
                <w:szCs w:val="20"/>
              </w:rPr>
              <w:t>24-25 focus will be to create a central hub/dashboard for ward accreditation patient experience data</w:t>
            </w:r>
          </w:p>
        </w:tc>
      </w:tr>
      <w:tr w:rsidR="005A5E00" w14:paraId="12C25800" w14:textId="77777777" w:rsidTr="00E11680">
        <w:tc>
          <w:tcPr>
            <w:tcW w:w="14276" w:type="dxa"/>
            <w:gridSpan w:val="6"/>
          </w:tcPr>
          <w:p w14:paraId="7595E6C0" w14:textId="16EE15CE" w:rsidR="005A5E00" w:rsidRPr="00956DA8" w:rsidRDefault="005A5E00" w:rsidP="00933259">
            <w:pPr>
              <w:jc w:val="center"/>
              <w:rPr>
                <w:rFonts w:cstheme="minorHAnsi"/>
                <w:b/>
                <w:szCs w:val="20"/>
              </w:rPr>
            </w:pPr>
            <w:r w:rsidRPr="00956DA8">
              <w:rPr>
                <w:rFonts w:cstheme="minorHAnsi"/>
                <w:b/>
                <w:szCs w:val="20"/>
              </w:rPr>
              <w:t>Other Activities</w:t>
            </w:r>
          </w:p>
        </w:tc>
      </w:tr>
      <w:tr w:rsidR="005A5E00" w14:paraId="318E4652" w14:textId="77777777" w:rsidTr="005A5E00">
        <w:tc>
          <w:tcPr>
            <w:tcW w:w="1985" w:type="dxa"/>
          </w:tcPr>
          <w:p w14:paraId="44B6C267" w14:textId="77777777" w:rsidR="005A5E00" w:rsidRPr="007F775F" w:rsidRDefault="005A5E00" w:rsidP="00E716B1">
            <w:pPr>
              <w:rPr>
                <w:rFonts w:cstheme="minorHAnsi"/>
                <w:b/>
                <w:sz w:val="20"/>
                <w:szCs w:val="20"/>
              </w:rPr>
            </w:pPr>
            <w:r>
              <w:rPr>
                <w:rFonts w:cstheme="minorHAnsi"/>
                <w:b/>
                <w:sz w:val="20"/>
                <w:szCs w:val="20"/>
              </w:rPr>
              <w:t>What did we say we would do?</w:t>
            </w:r>
          </w:p>
        </w:tc>
        <w:tc>
          <w:tcPr>
            <w:tcW w:w="661" w:type="dxa"/>
          </w:tcPr>
          <w:p w14:paraId="6F4E2C7F" w14:textId="7B4912C9" w:rsidR="005A5E00" w:rsidRDefault="005A5E00" w:rsidP="00E716B1">
            <w:pPr>
              <w:rPr>
                <w:rFonts w:cstheme="minorHAnsi"/>
                <w:b/>
                <w:sz w:val="20"/>
                <w:szCs w:val="20"/>
              </w:rPr>
            </w:pPr>
            <w:r>
              <w:rPr>
                <w:rFonts w:cstheme="minorHAnsi"/>
                <w:b/>
                <w:sz w:val="20"/>
                <w:szCs w:val="20"/>
              </w:rPr>
              <w:t>RAG</w:t>
            </w:r>
          </w:p>
        </w:tc>
        <w:tc>
          <w:tcPr>
            <w:tcW w:w="2878" w:type="dxa"/>
          </w:tcPr>
          <w:p w14:paraId="324CD16B" w14:textId="6341D325" w:rsidR="005A5E00" w:rsidRPr="007F775F" w:rsidRDefault="005A5E00" w:rsidP="00E716B1">
            <w:pPr>
              <w:rPr>
                <w:rFonts w:cstheme="minorHAnsi"/>
                <w:b/>
                <w:sz w:val="20"/>
                <w:szCs w:val="20"/>
              </w:rPr>
            </w:pPr>
            <w:r>
              <w:rPr>
                <w:rFonts w:cstheme="minorHAnsi"/>
                <w:b/>
                <w:sz w:val="20"/>
                <w:szCs w:val="20"/>
              </w:rPr>
              <w:t>Q1, Q2 &amp; Q3 activities</w:t>
            </w:r>
          </w:p>
        </w:tc>
        <w:tc>
          <w:tcPr>
            <w:tcW w:w="3118" w:type="dxa"/>
          </w:tcPr>
          <w:p w14:paraId="480AD435" w14:textId="5691A509" w:rsidR="005A5E00" w:rsidRDefault="005A5E00" w:rsidP="00E716B1">
            <w:pPr>
              <w:rPr>
                <w:rFonts w:cstheme="minorHAnsi"/>
                <w:b/>
                <w:sz w:val="20"/>
                <w:szCs w:val="20"/>
              </w:rPr>
            </w:pPr>
            <w:r>
              <w:rPr>
                <w:rFonts w:cstheme="minorHAnsi"/>
                <w:b/>
                <w:sz w:val="20"/>
                <w:szCs w:val="20"/>
              </w:rPr>
              <w:t>Q4 – what have we done?</w:t>
            </w:r>
          </w:p>
        </w:tc>
        <w:tc>
          <w:tcPr>
            <w:tcW w:w="3229" w:type="dxa"/>
          </w:tcPr>
          <w:p w14:paraId="627BC307" w14:textId="77777777" w:rsidR="005A5E00" w:rsidRDefault="005A5E00" w:rsidP="00E716B1">
            <w:pPr>
              <w:rPr>
                <w:rFonts w:cstheme="minorHAnsi"/>
                <w:b/>
                <w:sz w:val="20"/>
                <w:szCs w:val="20"/>
              </w:rPr>
            </w:pPr>
            <w:r>
              <w:rPr>
                <w:rFonts w:cstheme="minorHAnsi"/>
                <w:b/>
                <w:sz w:val="20"/>
                <w:szCs w:val="20"/>
              </w:rPr>
              <w:t>Impact</w:t>
            </w:r>
          </w:p>
        </w:tc>
        <w:tc>
          <w:tcPr>
            <w:tcW w:w="2405" w:type="dxa"/>
          </w:tcPr>
          <w:p w14:paraId="40F5D236" w14:textId="77777777" w:rsidR="005A5E00" w:rsidRPr="007F775F" w:rsidRDefault="005A5E00" w:rsidP="00E716B1">
            <w:pPr>
              <w:rPr>
                <w:rFonts w:cstheme="minorHAnsi"/>
                <w:b/>
                <w:sz w:val="20"/>
                <w:szCs w:val="20"/>
              </w:rPr>
            </w:pPr>
            <w:r>
              <w:rPr>
                <w:rFonts w:cstheme="minorHAnsi"/>
                <w:b/>
                <w:sz w:val="20"/>
                <w:szCs w:val="20"/>
              </w:rPr>
              <w:t>Recommendations or risks</w:t>
            </w:r>
          </w:p>
        </w:tc>
      </w:tr>
      <w:tr w:rsidR="005A5E00" w14:paraId="7E375809" w14:textId="77777777" w:rsidTr="005A5E00">
        <w:tc>
          <w:tcPr>
            <w:tcW w:w="1985" w:type="dxa"/>
          </w:tcPr>
          <w:p w14:paraId="3A2C966D" w14:textId="77777777" w:rsidR="005A5E00" w:rsidRDefault="005A5E00" w:rsidP="00933259">
            <w:pPr>
              <w:rPr>
                <w:rFonts w:cstheme="minorHAnsi"/>
                <w:sz w:val="20"/>
                <w:szCs w:val="20"/>
              </w:rPr>
            </w:pPr>
            <w:r>
              <w:rPr>
                <w:rFonts w:cstheme="minorHAnsi"/>
                <w:sz w:val="20"/>
                <w:szCs w:val="20"/>
              </w:rPr>
              <w:t>Identifying and upskilling of patient experience ‘champions’ across the Trust</w:t>
            </w:r>
          </w:p>
        </w:tc>
        <w:tc>
          <w:tcPr>
            <w:tcW w:w="661" w:type="dxa"/>
            <w:shd w:val="clear" w:color="auto" w:fill="92D050"/>
          </w:tcPr>
          <w:p w14:paraId="252B3664" w14:textId="77777777" w:rsidR="005A5E00" w:rsidRDefault="005A5E00" w:rsidP="00933259">
            <w:pPr>
              <w:rPr>
                <w:rFonts w:cstheme="minorHAnsi"/>
                <w:sz w:val="20"/>
                <w:szCs w:val="20"/>
              </w:rPr>
            </w:pPr>
          </w:p>
        </w:tc>
        <w:tc>
          <w:tcPr>
            <w:tcW w:w="2878" w:type="dxa"/>
          </w:tcPr>
          <w:p w14:paraId="5B9396E2" w14:textId="250E0038" w:rsidR="005A5E00" w:rsidRDefault="005A5E00" w:rsidP="00933259">
            <w:pPr>
              <w:rPr>
                <w:rFonts w:cstheme="minorHAnsi"/>
                <w:sz w:val="20"/>
                <w:szCs w:val="20"/>
              </w:rPr>
            </w:pPr>
            <w:r>
              <w:rPr>
                <w:rFonts w:cstheme="minorHAnsi"/>
                <w:sz w:val="20"/>
                <w:szCs w:val="20"/>
              </w:rPr>
              <w:t>‘Champions’ identified informally in certain areas and promoting patient experience and feedback. These champions have taken a proactive role in survey meetings and other patient experience projects.</w:t>
            </w:r>
          </w:p>
          <w:p w14:paraId="48103A49" w14:textId="77777777" w:rsidR="005A5E00" w:rsidRDefault="005A5E00" w:rsidP="00933259">
            <w:pPr>
              <w:rPr>
                <w:rFonts w:cstheme="minorHAnsi"/>
                <w:sz w:val="20"/>
                <w:szCs w:val="20"/>
              </w:rPr>
            </w:pPr>
            <w:r>
              <w:rPr>
                <w:rFonts w:cstheme="minorHAnsi"/>
                <w:sz w:val="20"/>
                <w:szCs w:val="20"/>
              </w:rPr>
              <w:t>Examples have included:</w:t>
            </w:r>
          </w:p>
          <w:p w14:paraId="3198E8B9" w14:textId="77777777" w:rsidR="005A5E00" w:rsidRDefault="005A5E00" w:rsidP="004540A7">
            <w:pPr>
              <w:pStyle w:val="ListParagraph"/>
              <w:numPr>
                <w:ilvl w:val="0"/>
                <w:numId w:val="6"/>
              </w:numPr>
              <w:spacing w:after="0"/>
              <w:rPr>
                <w:rFonts w:cstheme="minorHAnsi"/>
                <w:sz w:val="20"/>
                <w:szCs w:val="20"/>
              </w:rPr>
            </w:pPr>
            <w:r>
              <w:rPr>
                <w:rFonts w:cstheme="minorHAnsi"/>
                <w:sz w:val="20"/>
                <w:szCs w:val="20"/>
              </w:rPr>
              <w:t>Introduction of an EASYREAD Friends and Family Test form for elderly care wards</w:t>
            </w:r>
          </w:p>
          <w:p w14:paraId="5224D1C1" w14:textId="77777777" w:rsidR="005A5E00" w:rsidRDefault="005A5E00" w:rsidP="004540A7">
            <w:pPr>
              <w:pStyle w:val="ListParagraph"/>
              <w:numPr>
                <w:ilvl w:val="0"/>
                <w:numId w:val="6"/>
              </w:numPr>
              <w:spacing w:after="0"/>
              <w:rPr>
                <w:rFonts w:cstheme="minorHAnsi"/>
                <w:sz w:val="20"/>
                <w:szCs w:val="20"/>
              </w:rPr>
            </w:pPr>
            <w:r>
              <w:rPr>
                <w:rFonts w:cstheme="minorHAnsi"/>
                <w:sz w:val="20"/>
                <w:szCs w:val="20"/>
              </w:rPr>
              <w:t xml:space="preserve">Monthly outpatient meetings to discuss feedback themes and improvement initiatives </w:t>
            </w:r>
          </w:p>
          <w:p w14:paraId="698FBD11" w14:textId="77777777" w:rsidR="005A5E00" w:rsidRPr="009C2450" w:rsidRDefault="005A5E00" w:rsidP="00933259">
            <w:pPr>
              <w:pStyle w:val="ListParagraph"/>
              <w:spacing w:after="0"/>
              <w:rPr>
                <w:rFonts w:cstheme="minorHAnsi"/>
                <w:sz w:val="20"/>
                <w:szCs w:val="20"/>
              </w:rPr>
            </w:pPr>
          </w:p>
        </w:tc>
        <w:tc>
          <w:tcPr>
            <w:tcW w:w="3118" w:type="dxa"/>
          </w:tcPr>
          <w:p w14:paraId="4A551ADA" w14:textId="77777777" w:rsidR="005A5E00" w:rsidRDefault="005A5E00" w:rsidP="00933259">
            <w:pPr>
              <w:rPr>
                <w:rFonts w:cstheme="minorHAnsi"/>
                <w:sz w:val="20"/>
                <w:szCs w:val="20"/>
              </w:rPr>
            </w:pPr>
            <w:r>
              <w:rPr>
                <w:rFonts w:cstheme="minorHAnsi"/>
                <w:sz w:val="20"/>
                <w:szCs w:val="20"/>
              </w:rPr>
              <w:t>Continued engagement with key staff across the Trust.</w:t>
            </w:r>
          </w:p>
          <w:p w14:paraId="3DF409B1" w14:textId="77777777" w:rsidR="005A5E00" w:rsidRDefault="005A5E00" w:rsidP="00933259">
            <w:pPr>
              <w:rPr>
                <w:rFonts w:cstheme="minorHAnsi"/>
                <w:sz w:val="20"/>
                <w:szCs w:val="20"/>
              </w:rPr>
            </w:pPr>
          </w:p>
          <w:p w14:paraId="5624A5BD" w14:textId="77777777" w:rsidR="005A5E00" w:rsidRDefault="005A5E00" w:rsidP="00933259">
            <w:pPr>
              <w:rPr>
                <w:rFonts w:cstheme="minorHAnsi"/>
                <w:sz w:val="20"/>
                <w:szCs w:val="20"/>
              </w:rPr>
            </w:pPr>
          </w:p>
        </w:tc>
        <w:tc>
          <w:tcPr>
            <w:tcW w:w="3229" w:type="dxa"/>
          </w:tcPr>
          <w:p w14:paraId="56F726B7" w14:textId="77777777" w:rsidR="005A5E00" w:rsidRDefault="005A5E00" w:rsidP="00933259">
            <w:pPr>
              <w:rPr>
                <w:rFonts w:cstheme="minorHAnsi"/>
                <w:sz w:val="20"/>
                <w:szCs w:val="20"/>
              </w:rPr>
            </w:pPr>
            <w:r>
              <w:rPr>
                <w:rFonts w:cstheme="minorHAnsi"/>
                <w:sz w:val="20"/>
                <w:szCs w:val="20"/>
              </w:rPr>
              <w:t>Ensuring that patient experience is a continued topic of discussion amongst staff in these areas and helped ensure there are more proactive processes for acting on feedback</w:t>
            </w:r>
          </w:p>
        </w:tc>
        <w:tc>
          <w:tcPr>
            <w:tcW w:w="2405" w:type="dxa"/>
          </w:tcPr>
          <w:p w14:paraId="62951943" w14:textId="65B6FC73" w:rsidR="005A5E00" w:rsidRDefault="005A5E00" w:rsidP="00933259">
            <w:pPr>
              <w:rPr>
                <w:rFonts w:cstheme="minorHAnsi"/>
                <w:sz w:val="20"/>
                <w:szCs w:val="20"/>
              </w:rPr>
            </w:pPr>
            <w:r>
              <w:rPr>
                <w:rFonts w:cstheme="minorHAnsi"/>
                <w:sz w:val="20"/>
                <w:szCs w:val="20"/>
              </w:rPr>
              <w:t>Continued engagement with key staff across the Trust</w:t>
            </w:r>
          </w:p>
          <w:p w14:paraId="0CF716EE" w14:textId="77777777" w:rsidR="005A5E00" w:rsidRDefault="005A5E00" w:rsidP="00933259">
            <w:pPr>
              <w:rPr>
                <w:rFonts w:cstheme="minorHAnsi"/>
                <w:sz w:val="20"/>
                <w:szCs w:val="20"/>
              </w:rPr>
            </w:pPr>
          </w:p>
        </w:tc>
      </w:tr>
      <w:tr w:rsidR="005A5E00" w14:paraId="0AA8A965" w14:textId="77777777" w:rsidTr="005A5E00">
        <w:tc>
          <w:tcPr>
            <w:tcW w:w="1985" w:type="dxa"/>
          </w:tcPr>
          <w:p w14:paraId="2C395E96" w14:textId="77777777" w:rsidR="005A5E00" w:rsidRDefault="005A5E00" w:rsidP="00933259">
            <w:pPr>
              <w:rPr>
                <w:rFonts w:cstheme="minorHAnsi"/>
                <w:sz w:val="20"/>
                <w:szCs w:val="20"/>
              </w:rPr>
            </w:pPr>
            <w:r>
              <w:rPr>
                <w:rFonts w:cstheme="minorHAnsi"/>
                <w:sz w:val="20"/>
                <w:szCs w:val="20"/>
              </w:rPr>
              <w:t>Redesign patient experience intranet pages and develop a patient experience toolkit to help educate and empower staff</w:t>
            </w:r>
          </w:p>
        </w:tc>
        <w:tc>
          <w:tcPr>
            <w:tcW w:w="661" w:type="dxa"/>
            <w:shd w:val="clear" w:color="auto" w:fill="0070C0"/>
          </w:tcPr>
          <w:p w14:paraId="75270E25" w14:textId="77777777" w:rsidR="005A5E00" w:rsidRDefault="005A5E00" w:rsidP="00933259">
            <w:pPr>
              <w:rPr>
                <w:rFonts w:cstheme="minorHAnsi"/>
                <w:sz w:val="20"/>
                <w:szCs w:val="20"/>
              </w:rPr>
            </w:pPr>
          </w:p>
        </w:tc>
        <w:tc>
          <w:tcPr>
            <w:tcW w:w="2878" w:type="dxa"/>
          </w:tcPr>
          <w:p w14:paraId="2FEE6A26" w14:textId="05D27033" w:rsidR="005A5E00" w:rsidRDefault="005A5E00" w:rsidP="00933259">
            <w:pPr>
              <w:rPr>
                <w:rFonts w:cstheme="minorHAnsi"/>
                <w:sz w:val="20"/>
                <w:szCs w:val="20"/>
              </w:rPr>
            </w:pPr>
            <w:r>
              <w:rPr>
                <w:rFonts w:cstheme="minorHAnsi"/>
                <w:sz w:val="20"/>
                <w:szCs w:val="20"/>
              </w:rPr>
              <w:t>Page experience pages updated</w:t>
            </w:r>
          </w:p>
        </w:tc>
        <w:tc>
          <w:tcPr>
            <w:tcW w:w="3118" w:type="dxa"/>
          </w:tcPr>
          <w:p w14:paraId="686AFC7C" w14:textId="77777777" w:rsidR="005A5E00" w:rsidRDefault="005A5E00" w:rsidP="00933259">
            <w:pPr>
              <w:rPr>
                <w:rFonts w:cstheme="minorHAnsi"/>
                <w:sz w:val="20"/>
                <w:szCs w:val="20"/>
              </w:rPr>
            </w:pPr>
            <w:r>
              <w:rPr>
                <w:rFonts w:cstheme="minorHAnsi"/>
                <w:sz w:val="20"/>
                <w:szCs w:val="20"/>
              </w:rPr>
              <w:t>No further action required</w:t>
            </w:r>
          </w:p>
        </w:tc>
        <w:tc>
          <w:tcPr>
            <w:tcW w:w="3229" w:type="dxa"/>
          </w:tcPr>
          <w:p w14:paraId="6B65023A" w14:textId="77777777" w:rsidR="005A5E00" w:rsidRDefault="005A5E00" w:rsidP="00933259">
            <w:pPr>
              <w:rPr>
                <w:rFonts w:cstheme="minorHAnsi"/>
                <w:sz w:val="20"/>
                <w:szCs w:val="20"/>
              </w:rPr>
            </w:pPr>
            <w:r>
              <w:rPr>
                <w:rFonts w:cstheme="minorHAnsi"/>
                <w:sz w:val="20"/>
                <w:szCs w:val="20"/>
              </w:rPr>
              <w:t xml:space="preserve">Refreshed patient experience pages have received positive feedback from staff </w:t>
            </w:r>
          </w:p>
        </w:tc>
        <w:tc>
          <w:tcPr>
            <w:tcW w:w="2405" w:type="dxa"/>
          </w:tcPr>
          <w:p w14:paraId="1D135B77" w14:textId="77777777" w:rsidR="005A5E00" w:rsidRDefault="005A5E00" w:rsidP="00933259">
            <w:pPr>
              <w:rPr>
                <w:rFonts w:cstheme="minorHAnsi"/>
                <w:sz w:val="20"/>
                <w:szCs w:val="20"/>
              </w:rPr>
            </w:pPr>
            <w:r>
              <w:rPr>
                <w:rFonts w:cstheme="minorHAnsi"/>
                <w:sz w:val="20"/>
                <w:szCs w:val="20"/>
              </w:rPr>
              <w:t>Continue to evaluate effectiveness of staff resources and information on patient experience pages</w:t>
            </w:r>
          </w:p>
        </w:tc>
      </w:tr>
    </w:tbl>
    <w:p w14:paraId="03772DE9" w14:textId="77777777" w:rsidR="00BC7091" w:rsidRDefault="00BC7091" w:rsidP="00BC7091">
      <w:pPr>
        <w:rPr>
          <w:rFonts w:cstheme="minorHAnsi"/>
          <w:sz w:val="20"/>
          <w:szCs w:val="20"/>
        </w:rPr>
      </w:pPr>
    </w:p>
    <w:p w14:paraId="0E28E930" w14:textId="77777777" w:rsidR="00BC7091" w:rsidRDefault="00BC7091" w:rsidP="00BC7091">
      <w:pPr>
        <w:rPr>
          <w:rFonts w:cstheme="minorHAnsi"/>
          <w:sz w:val="20"/>
          <w:szCs w:val="20"/>
        </w:rPr>
      </w:pPr>
      <w:r>
        <w:rPr>
          <w:rFonts w:cstheme="minorHAnsi"/>
          <w:sz w:val="20"/>
          <w:szCs w:val="20"/>
        </w:rPr>
        <w:br w:type="page"/>
      </w:r>
    </w:p>
    <w:p w14:paraId="0E68878E" w14:textId="77777777" w:rsidR="00BC7091" w:rsidRDefault="00BC7091" w:rsidP="00BC7091">
      <w:pPr>
        <w:rPr>
          <w:b/>
          <w:bCs/>
        </w:rPr>
      </w:pPr>
      <w:r>
        <w:rPr>
          <w:rFonts w:cs="Arial"/>
          <w:noProof/>
          <w:lang w:eastAsia="en-GB"/>
        </w:rPr>
        <w:lastRenderedPageBreak/>
        <w:drawing>
          <wp:anchor distT="0" distB="0" distL="114300" distR="114300" simplePos="0" relativeHeight="251661312" behindDoc="0" locked="0" layoutInCell="1" allowOverlap="1" wp14:anchorId="3A8582DD" wp14:editId="2EFA398B">
            <wp:simplePos x="0" y="0"/>
            <wp:positionH relativeFrom="margin">
              <wp:align>left</wp:align>
            </wp:positionH>
            <wp:positionV relativeFrom="paragraph">
              <wp:posOffset>9525</wp:posOffset>
            </wp:positionV>
            <wp:extent cx="719403" cy="720000"/>
            <wp:effectExtent l="0" t="0" r="5080" b="4445"/>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7"/>
                    <a:stretch>
                      <a:fillRect/>
                    </a:stretch>
                  </pic:blipFill>
                  <pic:spPr>
                    <a:xfrm>
                      <a:off x="0" y="0"/>
                      <a:ext cx="719403" cy="720000"/>
                    </a:xfrm>
                    <a:prstGeom prst="rect">
                      <a:avLst/>
                    </a:prstGeom>
                  </pic:spPr>
                </pic:pic>
              </a:graphicData>
            </a:graphic>
            <wp14:sizeRelH relativeFrom="page">
              <wp14:pctWidth>0</wp14:pctWidth>
            </wp14:sizeRelH>
            <wp14:sizeRelV relativeFrom="page">
              <wp14:pctHeight>0</wp14:pctHeight>
            </wp14:sizeRelV>
          </wp:anchor>
        </w:drawing>
      </w:r>
    </w:p>
    <w:p w14:paraId="5B25017D" w14:textId="77777777" w:rsidR="00BC7091" w:rsidRDefault="00BC7091" w:rsidP="00BC7091">
      <w:r w:rsidRPr="00F940BD">
        <w:rPr>
          <w:b/>
          <w:bCs/>
        </w:rPr>
        <w:t xml:space="preserve">Strategic Objective Four: Accessibility and Partnerships – </w:t>
      </w:r>
      <w:r w:rsidRPr="00F940BD">
        <w:t>“To develop our partnerships and increase the number and diversity of people involved, creating accessibility for all”</w:t>
      </w:r>
    </w:p>
    <w:tbl>
      <w:tblPr>
        <w:tblStyle w:val="TableGrid"/>
        <w:tblW w:w="0" w:type="auto"/>
        <w:tblLook w:val="04A0" w:firstRow="1" w:lastRow="0" w:firstColumn="1" w:lastColumn="0" w:noHBand="0" w:noVBand="1"/>
      </w:tblPr>
      <w:tblGrid>
        <w:gridCol w:w="2391"/>
        <w:gridCol w:w="661"/>
        <w:gridCol w:w="3094"/>
        <w:gridCol w:w="2668"/>
        <w:gridCol w:w="2921"/>
        <w:gridCol w:w="2541"/>
      </w:tblGrid>
      <w:tr w:rsidR="005A5E00" w14:paraId="4A88E41B" w14:textId="77777777" w:rsidTr="00E11680">
        <w:tc>
          <w:tcPr>
            <w:tcW w:w="14276" w:type="dxa"/>
            <w:gridSpan w:val="6"/>
          </w:tcPr>
          <w:p w14:paraId="35B70D60" w14:textId="2258E978" w:rsidR="005A5E00" w:rsidRDefault="005A5E00" w:rsidP="00933259">
            <w:pPr>
              <w:jc w:val="center"/>
              <w:rPr>
                <w:rFonts w:cstheme="minorHAnsi"/>
                <w:b/>
                <w:sz w:val="20"/>
                <w:szCs w:val="20"/>
              </w:rPr>
            </w:pPr>
            <w:r>
              <w:rPr>
                <w:rFonts w:cstheme="minorHAnsi"/>
                <w:b/>
                <w:szCs w:val="20"/>
              </w:rPr>
              <w:t>Objective 4 - 2023-24 Forward Plan Actions</w:t>
            </w:r>
          </w:p>
        </w:tc>
      </w:tr>
      <w:tr w:rsidR="005A5E00" w14:paraId="5A156119" w14:textId="77777777" w:rsidTr="005A5E00">
        <w:tc>
          <w:tcPr>
            <w:tcW w:w="2406" w:type="dxa"/>
          </w:tcPr>
          <w:p w14:paraId="00A3BD8C" w14:textId="77777777" w:rsidR="005A5E00" w:rsidRPr="007F775F" w:rsidRDefault="005A5E00" w:rsidP="00E716B1">
            <w:pPr>
              <w:rPr>
                <w:rFonts w:cstheme="minorHAnsi"/>
                <w:b/>
                <w:sz w:val="20"/>
                <w:szCs w:val="20"/>
              </w:rPr>
            </w:pPr>
            <w:r>
              <w:rPr>
                <w:rFonts w:cstheme="minorHAnsi"/>
                <w:b/>
                <w:sz w:val="20"/>
                <w:szCs w:val="20"/>
              </w:rPr>
              <w:t>What did we say we would do?</w:t>
            </w:r>
          </w:p>
        </w:tc>
        <w:tc>
          <w:tcPr>
            <w:tcW w:w="566" w:type="dxa"/>
          </w:tcPr>
          <w:p w14:paraId="72D54AFB" w14:textId="73F5C4B7" w:rsidR="005A5E00" w:rsidRDefault="005A5E00" w:rsidP="00E716B1">
            <w:pPr>
              <w:rPr>
                <w:rFonts w:cstheme="minorHAnsi"/>
                <w:b/>
                <w:sz w:val="20"/>
                <w:szCs w:val="20"/>
              </w:rPr>
            </w:pPr>
            <w:r>
              <w:rPr>
                <w:rFonts w:cstheme="minorHAnsi"/>
                <w:b/>
                <w:sz w:val="20"/>
                <w:szCs w:val="20"/>
              </w:rPr>
              <w:t>RAG</w:t>
            </w:r>
          </w:p>
        </w:tc>
        <w:tc>
          <w:tcPr>
            <w:tcW w:w="3119" w:type="dxa"/>
          </w:tcPr>
          <w:p w14:paraId="24AB6041" w14:textId="78AF296E" w:rsidR="005A5E00" w:rsidRPr="007F775F" w:rsidRDefault="005A5E00" w:rsidP="00E716B1">
            <w:pPr>
              <w:rPr>
                <w:rFonts w:cstheme="minorHAnsi"/>
                <w:b/>
                <w:sz w:val="20"/>
                <w:szCs w:val="20"/>
              </w:rPr>
            </w:pPr>
            <w:r>
              <w:rPr>
                <w:rFonts w:cstheme="minorHAnsi"/>
                <w:b/>
                <w:sz w:val="20"/>
                <w:szCs w:val="20"/>
              </w:rPr>
              <w:t>Q1, Q2 &amp; Q3 activities</w:t>
            </w:r>
          </w:p>
        </w:tc>
        <w:tc>
          <w:tcPr>
            <w:tcW w:w="2693" w:type="dxa"/>
          </w:tcPr>
          <w:p w14:paraId="5D986086" w14:textId="68A9413E" w:rsidR="005A5E00" w:rsidRDefault="005A5E00" w:rsidP="00E716B1">
            <w:pPr>
              <w:rPr>
                <w:rFonts w:cstheme="minorHAnsi"/>
                <w:b/>
                <w:sz w:val="20"/>
                <w:szCs w:val="20"/>
              </w:rPr>
            </w:pPr>
            <w:r>
              <w:rPr>
                <w:rFonts w:cstheme="minorHAnsi"/>
                <w:b/>
                <w:sz w:val="20"/>
                <w:szCs w:val="20"/>
              </w:rPr>
              <w:t>Q4 – what have we done?</w:t>
            </w:r>
          </w:p>
        </w:tc>
        <w:tc>
          <w:tcPr>
            <w:tcW w:w="2943" w:type="dxa"/>
          </w:tcPr>
          <w:p w14:paraId="39BBE1E3" w14:textId="77777777" w:rsidR="005A5E00" w:rsidRDefault="005A5E00" w:rsidP="00E716B1">
            <w:pPr>
              <w:rPr>
                <w:rFonts w:cstheme="minorHAnsi"/>
                <w:b/>
                <w:sz w:val="20"/>
                <w:szCs w:val="20"/>
              </w:rPr>
            </w:pPr>
            <w:r>
              <w:rPr>
                <w:rFonts w:cstheme="minorHAnsi"/>
                <w:b/>
                <w:sz w:val="20"/>
                <w:szCs w:val="20"/>
              </w:rPr>
              <w:t>Impact</w:t>
            </w:r>
          </w:p>
        </w:tc>
        <w:tc>
          <w:tcPr>
            <w:tcW w:w="2549" w:type="dxa"/>
          </w:tcPr>
          <w:p w14:paraId="77D5A484" w14:textId="77777777" w:rsidR="005A5E00" w:rsidRPr="007F775F" w:rsidRDefault="005A5E00" w:rsidP="00E716B1">
            <w:pPr>
              <w:rPr>
                <w:rFonts w:cstheme="minorHAnsi"/>
                <w:b/>
                <w:sz w:val="20"/>
                <w:szCs w:val="20"/>
              </w:rPr>
            </w:pPr>
            <w:r>
              <w:rPr>
                <w:rFonts w:cstheme="minorHAnsi"/>
                <w:b/>
                <w:sz w:val="20"/>
                <w:szCs w:val="20"/>
              </w:rPr>
              <w:t>Recommendations or risks</w:t>
            </w:r>
          </w:p>
        </w:tc>
      </w:tr>
      <w:tr w:rsidR="005A5E00" w14:paraId="25B25FDA" w14:textId="77777777" w:rsidTr="005A5E00">
        <w:tc>
          <w:tcPr>
            <w:tcW w:w="2406" w:type="dxa"/>
          </w:tcPr>
          <w:p w14:paraId="013AF3BF" w14:textId="77777777" w:rsidR="005A5E00" w:rsidRPr="00016139" w:rsidRDefault="005A5E00" w:rsidP="00933259">
            <w:pPr>
              <w:rPr>
                <w:rFonts w:cstheme="minorHAnsi"/>
                <w:sz w:val="20"/>
                <w:szCs w:val="20"/>
              </w:rPr>
            </w:pPr>
            <w:r>
              <w:rPr>
                <w:rFonts w:cstheme="minorHAnsi"/>
                <w:sz w:val="20"/>
                <w:szCs w:val="20"/>
              </w:rPr>
              <w:t>To review 22-23 patient demographic report to highlight good practice and identify scope for improvement work</w:t>
            </w:r>
          </w:p>
        </w:tc>
        <w:tc>
          <w:tcPr>
            <w:tcW w:w="566" w:type="dxa"/>
            <w:shd w:val="clear" w:color="auto" w:fill="FFC000"/>
          </w:tcPr>
          <w:p w14:paraId="57084929" w14:textId="77777777" w:rsidR="005A5E00" w:rsidRDefault="005A5E00" w:rsidP="00933259">
            <w:pPr>
              <w:rPr>
                <w:rFonts w:cstheme="minorHAnsi"/>
                <w:sz w:val="20"/>
                <w:szCs w:val="20"/>
              </w:rPr>
            </w:pPr>
          </w:p>
        </w:tc>
        <w:tc>
          <w:tcPr>
            <w:tcW w:w="3119" w:type="dxa"/>
          </w:tcPr>
          <w:p w14:paraId="4DA59CEF" w14:textId="7BAA8048" w:rsidR="005A5E00" w:rsidRDefault="005A5E00" w:rsidP="00933259">
            <w:pPr>
              <w:rPr>
                <w:rFonts w:cstheme="minorHAnsi"/>
                <w:sz w:val="20"/>
                <w:szCs w:val="20"/>
              </w:rPr>
            </w:pPr>
            <w:r>
              <w:rPr>
                <w:rFonts w:cstheme="minorHAnsi"/>
                <w:sz w:val="20"/>
                <w:szCs w:val="20"/>
              </w:rPr>
              <w:t>Inclusion of patient demography questions on the ward accreditation tool has helped drive the need for greater data quality patient demographics</w:t>
            </w:r>
          </w:p>
          <w:p w14:paraId="559C8560" w14:textId="33F536ED" w:rsidR="005A5E00" w:rsidRPr="007F50E2" w:rsidRDefault="005A5E00" w:rsidP="00F63465">
            <w:pPr>
              <w:rPr>
                <w:rFonts w:cstheme="minorHAnsi"/>
                <w:sz w:val="20"/>
                <w:szCs w:val="20"/>
              </w:rPr>
            </w:pPr>
            <w:r>
              <w:rPr>
                <w:rFonts w:cstheme="minorHAnsi"/>
                <w:sz w:val="20"/>
                <w:szCs w:val="20"/>
              </w:rPr>
              <w:t>BI / data warehouse team have joined the NWL WSIC system which has allowed for integration of primary care data with trust data</w:t>
            </w:r>
          </w:p>
        </w:tc>
        <w:tc>
          <w:tcPr>
            <w:tcW w:w="2693" w:type="dxa"/>
          </w:tcPr>
          <w:p w14:paraId="70B58971" w14:textId="48301AEE" w:rsidR="005A5E00" w:rsidRPr="009C1BB9" w:rsidRDefault="005A5E00" w:rsidP="00933259">
            <w:pPr>
              <w:rPr>
                <w:rFonts w:cstheme="minorHAnsi"/>
                <w:sz w:val="20"/>
                <w:szCs w:val="20"/>
              </w:rPr>
            </w:pPr>
            <w:r>
              <w:rPr>
                <w:rFonts w:cstheme="minorHAnsi"/>
                <w:sz w:val="20"/>
                <w:szCs w:val="20"/>
              </w:rPr>
              <w:t>No progress</w:t>
            </w:r>
          </w:p>
        </w:tc>
        <w:tc>
          <w:tcPr>
            <w:tcW w:w="2943" w:type="dxa"/>
          </w:tcPr>
          <w:p w14:paraId="7F669E85" w14:textId="77777777" w:rsidR="005A5E00" w:rsidRPr="009C1BB9" w:rsidRDefault="005A5E00" w:rsidP="00933259">
            <w:pPr>
              <w:rPr>
                <w:rFonts w:cstheme="minorHAnsi"/>
                <w:sz w:val="20"/>
                <w:szCs w:val="20"/>
              </w:rPr>
            </w:pPr>
            <w:r>
              <w:rPr>
                <w:rFonts w:cstheme="minorHAnsi"/>
                <w:sz w:val="20"/>
                <w:szCs w:val="20"/>
              </w:rPr>
              <w:t>Improvements in capturing of ethnicity, language and religion data.</w:t>
            </w:r>
          </w:p>
        </w:tc>
        <w:tc>
          <w:tcPr>
            <w:tcW w:w="2549" w:type="dxa"/>
          </w:tcPr>
          <w:p w14:paraId="505F5B61" w14:textId="538FDA0F" w:rsidR="005A5E00" w:rsidRDefault="005A5E00" w:rsidP="00933259">
            <w:pPr>
              <w:rPr>
                <w:rFonts w:cstheme="minorHAnsi"/>
                <w:sz w:val="20"/>
                <w:szCs w:val="20"/>
              </w:rPr>
            </w:pPr>
            <w:r w:rsidRPr="00895B28">
              <w:rPr>
                <w:rFonts w:cstheme="minorHAnsi"/>
                <w:sz w:val="20"/>
                <w:szCs w:val="20"/>
              </w:rPr>
              <w:t>Compliance percentages for some protected characteristics has improved with the merge of WSIC</w:t>
            </w:r>
            <w:r>
              <w:rPr>
                <w:rFonts w:cstheme="minorHAnsi"/>
                <w:sz w:val="20"/>
                <w:szCs w:val="20"/>
              </w:rPr>
              <w:t xml:space="preserve"> however there are still a number of gaps or low percentages i.e. religion, sexual orientation, disability etc</w:t>
            </w:r>
          </w:p>
          <w:p w14:paraId="50AD491E" w14:textId="0426ECE0" w:rsidR="005A5E00" w:rsidRDefault="005A5E00" w:rsidP="00933259">
            <w:pPr>
              <w:rPr>
                <w:rFonts w:cstheme="minorHAnsi"/>
                <w:sz w:val="20"/>
                <w:szCs w:val="20"/>
              </w:rPr>
            </w:pPr>
            <w:r>
              <w:rPr>
                <w:rFonts w:cstheme="minorHAnsi"/>
                <w:b/>
                <w:sz w:val="20"/>
                <w:szCs w:val="20"/>
              </w:rPr>
              <w:t xml:space="preserve">Risk – </w:t>
            </w:r>
            <w:r>
              <w:rPr>
                <w:rFonts w:cstheme="minorHAnsi"/>
                <w:sz w:val="20"/>
                <w:szCs w:val="20"/>
              </w:rPr>
              <w:t>we don’t know our patients and cannot adequately support them</w:t>
            </w:r>
          </w:p>
          <w:p w14:paraId="6459F60F" w14:textId="4FC67F77" w:rsidR="005A5E00" w:rsidRPr="00895B28" w:rsidRDefault="005A5E00" w:rsidP="00933259">
            <w:pPr>
              <w:rPr>
                <w:rFonts w:cstheme="minorHAnsi"/>
                <w:sz w:val="20"/>
                <w:szCs w:val="20"/>
              </w:rPr>
            </w:pPr>
            <w:r>
              <w:rPr>
                <w:rFonts w:cstheme="minorHAnsi"/>
                <w:sz w:val="20"/>
                <w:szCs w:val="20"/>
              </w:rPr>
              <w:t>As a trust we need to review current processes for capturing and validating this data and agree a process going forward</w:t>
            </w:r>
          </w:p>
          <w:p w14:paraId="5F6AF7D4" w14:textId="66EE69A8" w:rsidR="005A5E00" w:rsidRPr="00614632" w:rsidRDefault="005A5E00" w:rsidP="00933259">
            <w:pPr>
              <w:rPr>
                <w:rFonts w:cstheme="minorHAnsi"/>
                <w:sz w:val="20"/>
                <w:szCs w:val="20"/>
              </w:rPr>
            </w:pPr>
          </w:p>
        </w:tc>
      </w:tr>
    </w:tbl>
    <w:p w14:paraId="4713EDE2" w14:textId="77777777" w:rsidR="00BC7091" w:rsidRDefault="00BC7091" w:rsidP="00BC7091">
      <w:pPr>
        <w:rPr>
          <w:rFonts w:cstheme="minorHAnsi"/>
          <w:b/>
          <w:sz w:val="20"/>
          <w:szCs w:val="20"/>
        </w:rPr>
      </w:pPr>
    </w:p>
    <w:p w14:paraId="6C3A1502" w14:textId="2BEECE20" w:rsidR="00BC7091" w:rsidRDefault="00BC7091" w:rsidP="00BC7091">
      <w:pPr>
        <w:rPr>
          <w:rFonts w:cstheme="minorHAnsi"/>
          <w:sz w:val="20"/>
          <w:szCs w:val="20"/>
        </w:rPr>
      </w:pPr>
    </w:p>
    <w:p w14:paraId="39734FF5" w14:textId="77777777" w:rsidR="00BC7091" w:rsidRDefault="00BC7091">
      <w:pPr>
        <w:spacing w:after="200" w:line="276" w:lineRule="auto"/>
        <w:rPr>
          <w:rFonts w:cs="Arial"/>
          <w:b/>
          <w:noProof/>
          <w:szCs w:val="22"/>
          <w:lang w:eastAsia="en-GB"/>
        </w:rPr>
        <w:sectPr w:rsidR="00BC7091" w:rsidSect="00BC7091">
          <w:pgSz w:w="16838" w:h="11906" w:orient="landscape"/>
          <w:pgMar w:top="1134" w:right="1134" w:bottom="1134" w:left="1418" w:header="567" w:footer="851" w:gutter="0"/>
          <w:cols w:space="708"/>
          <w:titlePg/>
          <w:docGrid w:linePitch="360"/>
        </w:sectPr>
      </w:pPr>
      <w:r>
        <w:rPr>
          <w:rFonts w:cs="Arial"/>
          <w:b/>
          <w:noProof/>
          <w:szCs w:val="22"/>
          <w:lang w:eastAsia="en-GB"/>
        </w:rPr>
        <w:br w:type="page"/>
      </w:r>
    </w:p>
    <w:p w14:paraId="0C0DFCD7" w14:textId="27053547" w:rsidR="00945034" w:rsidRDefault="00945034" w:rsidP="0043188A">
      <w:pPr>
        <w:spacing w:after="200" w:line="276" w:lineRule="auto"/>
        <w:rPr>
          <w:rFonts w:cs="Arial"/>
          <w:b/>
          <w:noProof/>
          <w:szCs w:val="22"/>
          <w:lang w:eastAsia="en-GB"/>
        </w:rPr>
      </w:pPr>
      <w:r w:rsidRPr="0043188A">
        <w:rPr>
          <w:rFonts w:cs="Arial"/>
          <w:b/>
          <w:noProof/>
          <w:szCs w:val="22"/>
          <w:lang w:eastAsia="en-GB"/>
        </w:rPr>
        <w:lastRenderedPageBreak/>
        <w:t>Friends and Family Test (FFT)</w:t>
      </w:r>
      <w:r w:rsidR="00D90E98" w:rsidRPr="0043188A">
        <w:rPr>
          <w:rFonts w:cs="Arial"/>
          <w:b/>
          <w:noProof/>
          <w:szCs w:val="22"/>
          <w:lang w:eastAsia="en-GB"/>
        </w:rPr>
        <w:t xml:space="preserve"> </w:t>
      </w:r>
      <w:r w:rsidR="0043188A">
        <w:rPr>
          <w:rFonts w:cs="Arial"/>
          <w:b/>
          <w:noProof/>
          <w:szCs w:val="22"/>
          <w:lang w:eastAsia="en-GB"/>
        </w:rPr>
        <w:t>–</w:t>
      </w:r>
      <w:r w:rsidR="00D90E98" w:rsidRPr="0043188A">
        <w:rPr>
          <w:rFonts w:cs="Arial"/>
          <w:b/>
          <w:noProof/>
          <w:szCs w:val="22"/>
          <w:lang w:eastAsia="en-GB"/>
        </w:rPr>
        <w:t xml:space="preserve"> Trust</w:t>
      </w:r>
    </w:p>
    <w:p w14:paraId="7BA53C83" w14:textId="17BC723E" w:rsidR="009504A4" w:rsidRPr="00386EA6" w:rsidRDefault="008F32F2" w:rsidP="004540A7">
      <w:pPr>
        <w:jc w:val="both"/>
        <w:rPr>
          <w:rFonts w:cs="Arial"/>
          <w:color w:val="202A30"/>
          <w:sz w:val="22"/>
          <w:szCs w:val="22"/>
          <w:shd w:val="clear" w:color="auto" w:fill="FFFFFF"/>
        </w:rPr>
      </w:pPr>
      <w:r w:rsidRPr="00386EA6">
        <w:rPr>
          <w:rFonts w:cs="Arial"/>
          <w:color w:val="202A30"/>
          <w:sz w:val="22"/>
          <w:szCs w:val="22"/>
          <w:shd w:val="clear" w:color="auto" w:fill="FFFFFF"/>
        </w:rPr>
        <w:t xml:space="preserve">The Friends and Family Test (FFT) is an important feedback tool that supports the fundamental principle that people who use NHS services should have the opportunity to provide feedback on their experience. Listening to the views of patients and staff helps identify what is working well, what can be improved and how. The FFT asks people to rate their experience and give a commentary to support their rating. </w:t>
      </w:r>
    </w:p>
    <w:p w14:paraId="2F796CC7" w14:textId="18C85696" w:rsidR="00EE09F2" w:rsidRDefault="008F32F2" w:rsidP="004540A7">
      <w:pPr>
        <w:jc w:val="both"/>
        <w:rPr>
          <w:rFonts w:cs="Arial"/>
          <w:color w:val="202A30"/>
          <w:sz w:val="22"/>
          <w:szCs w:val="22"/>
          <w:shd w:val="clear" w:color="auto" w:fill="FFFFFF"/>
        </w:rPr>
      </w:pPr>
      <w:r w:rsidRPr="00386EA6">
        <w:rPr>
          <w:rFonts w:cs="Arial"/>
          <w:color w:val="202A30"/>
          <w:sz w:val="22"/>
          <w:szCs w:val="22"/>
          <w:shd w:val="clear" w:color="auto" w:fill="FFFFFF"/>
        </w:rPr>
        <w:t xml:space="preserve">For </w:t>
      </w:r>
      <w:r w:rsidR="00EE09F2">
        <w:rPr>
          <w:rFonts w:cs="Arial"/>
          <w:color w:val="202A30"/>
          <w:sz w:val="22"/>
          <w:szCs w:val="22"/>
          <w:shd w:val="clear" w:color="auto" w:fill="FFFFFF"/>
        </w:rPr>
        <w:t>2023-24</w:t>
      </w:r>
      <w:r w:rsidRPr="00386EA6">
        <w:rPr>
          <w:rFonts w:cs="Arial"/>
          <w:color w:val="202A30"/>
          <w:sz w:val="22"/>
          <w:szCs w:val="22"/>
          <w:shd w:val="clear" w:color="auto" w:fill="FFFFFF"/>
        </w:rPr>
        <w:t xml:space="preserve"> period, the Trust’s average positive rating was</w:t>
      </w:r>
      <w:r w:rsidR="00EE09F2">
        <w:rPr>
          <w:rFonts w:cs="Arial"/>
          <w:color w:val="202A30"/>
          <w:sz w:val="22"/>
          <w:szCs w:val="22"/>
          <w:shd w:val="clear" w:color="auto" w:fill="FFFFFF"/>
        </w:rPr>
        <w:t xml:space="preserve"> 88%, which was a 1% improvement from 2022-23. However the biggest improvements were seen in the response rate and response totals; the trust saw a 6% improvement in </w:t>
      </w:r>
      <w:r w:rsidR="005024A1">
        <w:rPr>
          <w:rFonts w:cs="Arial"/>
          <w:color w:val="202A30"/>
          <w:sz w:val="22"/>
          <w:szCs w:val="22"/>
          <w:shd w:val="clear" w:color="auto" w:fill="FFFFFF"/>
        </w:rPr>
        <w:t>the response rate which was an additional 35102 (43.16% increase)</w:t>
      </w:r>
      <w:r w:rsidR="00C37483">
        <w:rPr>
          <w:rFonts w:cs="Arial"/>
          <w:color w:val="202A30"/>
          <w:sz w:val="22"/>
          <w:szCs w:val="22"/>
          <w:shd w:val="clear" w:color="auto" w:fill="FFFFFF"/>
        </w:rPr>
        <w:t xml:space="preserve">. When comparing sites, Chelsea and Westminster Hospital have an overall reported satisfaction score of 89% from 57,000 responses, whilst West Middlesex University Hospital have an overall reported satisfaction score of 87% from 42,000 responses. </w:t>
      </w:r>
    </w:p>
    <w:p w14:paraId="6350599C" w14:textId="53731425" w:rsidR="009A06C1" w:rsidRDefault="009A06C1" w:rsidP="000117B5">
      <w:pPr>
        <w:rPr>
          <w:rFonts w:cs="Arial"/>
          <w:color w:val="202A30"/>
          <w:sz w:val="22"/>
          <w:szCs w:val="22"/>
          <w:shd w:val="clear" w:color="auto" w:fill="FFFFFF"/>
        </w:rPr>
      </w:pPr>
      <w:r>
        <w:rPr>
          <w:rFonts w:cs="Arial"/>
          <w:color w:val="202A30"/>
          <w:sz w:val="22"/>
          <w:szCs w:val="22"/>
          <w:shd w:val="clear" w:color="auto" w:fill="FFFFFF"/>
        </w:rPr>
        <w:t>Figure 1: Trust-wide FFT satisfaction % since 1</w:t>
      </w:r>
      <w:r w:rsidRPr="009A06C1">
        <w:rPr>
          <w:rFonts w:cs="Arial"/>
          <w:color w:val="202A30"/>
          <w:sz w:val="22"/>
          <w:szCs w:val="22"/>
          <w:shd w:val="clear" w:color="auto" w:fill="FFFFFF"/>
          <w:vertAlign w:val="superscript"/>
        </w:rPr>
        <w:t>st</w:t>
      </w:r>
      <w:r>
        <w:rPr>
          <w:rFonts w:cs="Arial"/>
          <w:color w:val="202A30"/>
          <w:sz w:val="22"/>
          <w:szCs w:val="22"/>
          <w:shd w:val="clear" w:color="auto" w:fill="FFFFFF"/>
        </w:rPr>
        <w:t xml:space="preserve"> August 2022</w:t>
      </w:r>
    </w:p>
    <w:p w14:paraId="78F56955" w14:textId="286DE336" w:rsidR="00CB28D7" w:rsidRDefault="007F41EE" w:rsidP="00D90E98">
      <w:pPr>
        <w:jc w:val="center"/>
        <w:rPr>
          <w:rFonts w:cs="Arial"/>
          <w:color w:val="202A30"/>
          <w:sz w:val="22"/>
          <w:szCs w:val="22"/>
          <w:shd w:val="clear" w:color="auto" w:fill="FFFFFF"/>
        </w:rPr>
      </w:pPr>
      <w:r w:rsidRPr="007F41EE">
        <w:rPr>
          <w:rFonts w:cs="Arial"/>
          <w:noProof/>
          <w:color w:val="202A30"/>
          <w:sz w:val="22"/>
          <w:szCs w:val="22"/>
          <w:shd w:val="clear" w:color="auto" w:fill="FFFFFF"/>
          <w:lang w:eastAsia="en-GB"/>
        </w:rPr>
        <w:drawing>
          <wp:inline distT="0" distB="0" distL="0" distR="0" wp14:anchorId="70C3DF33" wp14:editId="7DCA7310">
            <wp:extent cx="4400550" cy="2267849"/>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stretch>
                      <a:fillRect/>
                    </a:stretch>
                  </pic:blipFill>
                  <pic:spPr>
                    <a:xfrm>
                      <a:off x="0" y="0"/>
                      <a:ext cx="4437727" cy="2287008"/>
                    </a:xfrm>
                    <a:prstGeom prst="rect">
                      <a:avLst/>
                    </a:prstGeom>
                  </pic:spPr>
                </pic:pic>
              </a:graphicData>
            </a:graphic>
          </wp:inline>
        </w:drawing>
      </w:r>
    </w:p>
    <w:p w14:paraId="1AB25760" w14:textId="342F4EC9" w:rsidR="009A06C1" w:rsidRPr="00386EA6" w:rsidRDefault="009A06C1" w:rsidP="009A06C1">
      <w:pPr>
        <w:rPr>
          <w:rFonts w:cs="Arial"/>
          <w:color w:val="202A30"/>
          <w:sz w:val="22"/>
          <w:szCs w:val="22"/>
          <w:shd w:val="clear" w:color="auto" w:fill="FFFFFF"/>
        </w:rPr>
      </w:pPr>
      <w:r>
        <w:rPr>
          <w:rFonts w:cs="Arial"/>
          <w:color w:val="202A30"/>
          <w:sz w:val="22"/>
          <w:szCs w:val="22"/>
          <w:shd w:val="clear" w:color="auto" w:fill="FFFFFF"/>
        </w:rPr>
        <w:t>Figure 2: Trust-wide FFT response rate % since 1</w:t>
      </w:r>
      <w:r w:rsidRPr="009A06C1">
        <w:rPr>
          <w:rFonts w:cs="Arial"/>
          <w:color w:val="202A30"/>
          <w:sz w:val="22"/>
          <w:szCs w:val="22"/>
          <w:shd w:val="clear" w:color="auto" w:fill="FFFFFF"/>
          <w:vertAlign w:val="superscript"/>
        </w:rPr>
        <w:t>st</w:t>
      </w:r>
      <w:r>
        <w:rPr>
          <w:rFonts w:cs="Arial"/>
          <w:color w:val="202A30"/>
          <w:sz w:val="22"/>
          <w:szCs w:val="22"/>
          <w:shd w:val="clear" w:color="auto" w:fill="FFFFFF"/>
        </w:rPr>
        <w:t xml:space="preserve"> August 2022</w:t>
      </w:r>
    </w:p>
    <w:p w14:paraId="3A2F625B" w14:textId="1DF860D9" w:rsidR="009D0561" w:rsidRDefault="009D0561" w:rsidP="00D90E98">
      <w:pPr>
        <w:jc w:val="center"/>
        <w:rPr>
          <w:rFonts w:cs="Arial"/>
          <w:color w:val="202A30"/>
          <w:sz w:val="22"/>
          <w:szCs w:val="22"/>
          <w:shd w:val="clear" w:color="auto" w:fill="FFFFFF"/>
        </w:rPr>
      </w:pPr>
      <w:r w:rsidRPr="009D0561">
        <w:rPr>
          <w:rFonts w:cs="Arial"/>
          <w:noProof/>
          <w:color w:val="202A30"/>
          <w:sz w:val="22"/>
          <w:szCs w:val="22"/>
          <w:shd w:val="clear" w:color="auto" w:fill="FFFFFF"/>
          <w:lang w:eastAsia="en-GB"/>
        </w:rPr>
        <w:drawing>
          <wp:inline distT="0" distB="0" distL="0" distR="0" wp14:anchorId="304640E0" wp14:editId="7BFAC9BB">
            <wp:extent cx="4398806" cy="2266950"/>
            <wp:effectExtent l="0" t="0" r="1905"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stretch>
                      <a:fillRect/>
                    </a:stretch>
                  </pic:blipFill>
                  <pic:spPr>
                    <a:xfrm>
                      <a:off x="0" y="0"/>
                      <a:ext cx="4450255" cy="2293464"/>
                    </a:xfrm>
                    <a:prstGeom prst="rect">
                      <a:avLst/>
                    </a:prstGeom>
                  </pic:spPr>
                </pic:pic>
              </a:graphicData>
            </a:graphic>
          </wp:inline>
        </w:drawing>
      </w:r>
    </w:p>
    <w:p w14:paraId="65591E97" w14:textId="59667870" w:rsidR="00C37483" w:rsidRDefault="00F41993" w:rsidP="004540A7">
      <w:pPr>
        <w:jc w:val="both"/>
        <w:rPr>
          <w:rFonts w:cs="Arial"/>
          <w:color w:val="202A30"/>
          <w:sz w:val="22"/>
          <w:szCs w:val="22"/>
          <w:shd w:val="clear" w:color="auto" w:fill="FFFFFF"/>
        </w:rPr>
      </w:pPr>
      <w:r>
        <w:rPr>
          <w:rFonts w:cs="Arial"/>
          <w:color w:val="202A30"/>
          <w:sz w:val="22"/>
          <w:szCs w:val="22"/>
          <w:shd w:val="clear" w:color="auto" w:fill="FFFFFF"/>
        </w:rPr>
        <w:lastRenderedPageBreak/>
        <w:t>In April 2015, NHSE removed the national requirements related to response rates</w:t>
      </w:r>
      <w:r w:rsidR="00665DF3">
        <w:rPr>
          <w:rFonts w:cs="Arial"/>
          <w:color w:val="202A30"/>
          <w:sz w:val="22"/>
          <w:szCs w:val="22"/>
          <w:shd w:val="clear" w:color="auto" w:fill="FFFFFF"/>
        </w:rPr>
        <w:t xml:space="preserve"> to discourage</w:t>
      </w:r>
      <w:r>
        <w:rPr>
          <w:rFonts w:cs="Arial"/>
          <w:color w:val="202A30"/>
          <w:sz w:val="22"/>
          <w:szCs w:val="22"/>
          <w:shd w:val="clear" w:color="auto" w:fill="FFFFFF"/>
        </w:rPr>
        <w:t xml:space="preserve"> the</w:t>
      </w:r>
      <w:r w:rsidR="00665DF3">
        <w:rPr>
          <w:rFonts w:cs="Arial"/>
          <w:color w:val="202A30"/>
          <w:sz w:val="22"/>
          <w:szCs w:val="22"/>
          <w:shd w:val="clear" w:color="auto" w:fill="FFFFFF"/>
        </w:rPr>
        <w:t xml:space="preserve"> disproportionate focus on achieving very high response rates, which led to providers thinking about FFT as a tick-box exercise. Commissioners will want to see that a reasonable amount of feedback is being collect, but what is reasonable will vary from setting to setting. </w:t>
      </w:r>
      <w:r w:rsidR="00D62A93">
        <w:rPr>
          <w:rFonts w:cs="Arial"/>
          <w:color w:val="202A30"/>
          <w:sz w:val="22"/>
          <w:szCs w:val="22"/>
          <w:shd w:val="clear" w:color="auto" w:fill="FFFFFF"/>
        </w:rPr>
        <w:t>Organisations are expected to ensure opportunities are in place for patients to give feedback but more importantly, services are using this feedback to identify good practice and opportunities to improve.</w:t>
      </w:r>
      <w:r w:rsidR="001D28BC">
        <w:rPr>
          <w:rFonts w:cs="Arial"/>
          <w:color w:val="202A30"/>
          <w:sz w:val="22"/>
          <w:szCs w:val="22"/>
          <w:shd w:val="clear" w:color="auto" w:fill="FFFFFF"/>
        </w:rPr>
        <w:t xml:space="preserve"> Therefore, in the next section of the report and in future quarterly/annual reports, total number of FFT responses will be highlighted as opposed to response rate as a percentage. </w:t>
      </w:r>
      <w:r w:rsidR="00F31CED">
        <w:rPr>
          <w:rFonts w:cs="Arial"/>
          <w:color w:val="202A30"/>
          <w:sz w:val="22"/>
          <w:szCs w:val="22"/>
          <w:shd w:val="clear" w:color="auto" w:fill="FFFFFF"/>
        </w:rPr>
        <w:t>Also, CWFT satisfaction rate will be benchmarked against the aggregated NWL and national satisfaction scores.</w:t>
      </w:r>
      <w:r w:rsidR="00C37483">
        <w:rPr>
          <w:rFonts w:cs="Arial"/>
          <w:color w:val="202A30"/>
          <w:sz w:val="22"/>
          <w:szCs w:val="22"/>
          <w:shd w:val="clear" w:color="auto" w:fill="FFFFFF"/>
        </w:rPr>
        <w:t xml:space="preserve"> </w:t>
      </w:r>
    </w:p>
    <w:p w14:paraId="0DF766BF" w14:textId="03B9FBDD" w:rsidR="00D90E98" w:rsidRPr="0043188A" w:rsidRDefault="00D90E98" w:rsidP="00D90E98">
      <w:pPr>
        <w:spacing w:after="200" w:line="276" w:lineRule="auto"/>
        <w:rPr>
          <w:rFonts w:cs="Arial"/>
          <w:b/>
          <w:noProof/>
          <w:szCs w:val="22"/>
          <w:lang w:eastAsia="en-GB"/>
        </w:rPr>
      </w:pPr>
      <w:r w:rsidRPr="0043188A">
        <w:rPr>
          <w:rFonts w:cs="Arial"/>
          <w:b/>
          <w:noProof/>
          <w:szCs w:val="22"/>
          <w:lang w:eastAsia="en-GB"/>
        </w:rPr>
        <w:t xml:space="preserve">Friends and Family Test (FFT) – </w:t>
      </w:r>
      <w:r w:rsidR="00110A15">
        <w:rPr>
          <w:rFonts w:cs="Arial"/>
          <w:b/>
          <w:noProof/>
          <w:szCs w:val="22"/>
          <w:lang w:eastAsia="en-GB"/>
        </w:rPr>
        <w:t xml:space="preserve">North West London Acute Collaborative </w:t>
      </w:r>
      <w:r w:rsidR="001514A4">
        <w:rPr>
          <w:rFonts w:cs="Arial"/>
          <w:b/>
          <w:noProof/>
          <w:szCs w:val="22"/>
          <w:lang w:eastAsia="en-GB"/>
        </w:rPr>
        <w:t xml:space="preserve">and National </w:t>
      </w:r>
      <w:r w:rsidR="002B1F93">
        <w:rPr>
          <w:rFonts w:cs="Arial"/>
          <w:b/>
          <w:noProof/>
          <w:szCs w:val="22"/>
          <w:lang w:eastAsia="en-GB"/>
        </w:rPr>
        <w:t>2023-24</w:t>
      </w:r>
      <w:r w:rsidR="00E14CF5">
        <w:rPr>
          <w:rFonts w:cs="Arial"/>
          <w:b/>
          <w:noProof/>
          <w:szCs w:val="22"/>
          <w:lang w:eastAsia="en-GB"/>
        </w:rPr>
        <w:t xml:space="preserve"> </w:t>
      </w:r>
      <w:r w:rsidR="00110A15">
        <w:rPr>
          <w:rFonts w:cs="Arial"/>
          <w:b/>
          <w:noProof/>
          <w:szCs w:val="22"/>
          <w:lang w:eastAsia="en-GB"/>
        </w:rPr>
        <w:t>Comparison</w:t>
      </w:r>
    </w:p>
    <w:p w14:paraId="57BB8D13" w14:textId="5C420858" w:rsidR="0037606B" w:rsidRDefault="009E5D8B" w:rsidP="00D90E98">
      <w:pPr>
        <w:spacing w:after="200" w:line="276" w:lineRule="auto"/>
        <w:rPr>
          <w:rFonts w:cs="Arial"/>
          <w:sz w:val="22"/>
          <w:szCs w:val="22"/>
          <w:u w:val="single"/>
        </w:rPr>
      </w:pPr>
      <w:r w:rsidRPr="00386EA6">
        <w:rPr>
          <w:rFonts w:cs="Arial"/>
          <w:sz w:val="22"/>
          <w:szCs w:val="22"/>
          <w:u w:val="single"/>
        </w:rPr>
        <w:t>Accident &amp; Emergency</w:t>
      </w:r>
    </w:p>
    <w:p w14:paraId="6C46F9AC" w14:textId="3F9D4B30" w:rsidR="009A06C1" w:rsidRPr="009A06C1" w:rsidRDefault="009A06C1" w:rsidP="00D90E98">
      <w:pPr>
        <w:spacing w:after="200" w:line="276" w:lineRule="auto"/>
        <w:rPr>
          <w:rFonts w:cs="Arial"/>
          <w:sz w:val="22"/>
          <w:szCs w:val="22"/>
        </w:rPr>
      </w:pPr>
      <w:r>
        <w:rPr>
          <w:rFonts w:cs="Arial"/>
          <w:sz w:val="22"/>
          <w:szCs w:val="22"/>
        </w:rPr>
        <w:t xml:space="preserve">Figure 3: </w:t>
      </w:r>
      <w:r w:rsidR="007B54F6">
        <w:rPr>
          <w:rFonts w:cs="Arial"/>
          <w:sz w:val="22"/>
          <w:szCs w:val="22"/>
        </w:rPr>
        <w:t xml:space="preserve">A&amp;E </w:t>
      </w:r>
      <w:r w:rsidR="003D301B">
        <w:rPr>
          <w:rFonts w:cs="Arial"/>
          <w:sz w:val="22"/>
          <w:szCs w:val="22"/>
        </w:rPr>
        <w:t>FFT satisfaction % comparison CWFT, NWL and National</w:t>
      </w:r>
    </w:p>
    <w:p w14:paraId="3CFF18FD" w14:textId="4C96566B" w:rsidR="001D28BC" w:rsidRDefault="006F3194" w:rsidP="00D90E98">
      <w:pPr>
        <w:spacing w:after="200" w:line="276" w:lineRule="auto"/>
        <w:rPr>
          <w:rFonts w:cs="Arial"/>
          <w:b/>
          <w:noProof/>
          <w:sz w:val="22"/>
          <w:szCs w:val="22"/>
          <w:u w:val="single"/>
          <w:lang w:eastAsia="en-GB"/>
        </w:rPr>
      </w:pPr>
      <w:r>
        <w:rPr>
          <w:noProof/>
          <w:lang w:eastAsia="en-GB"/>
        </w:rPr>
        <w:drawing>
          <wp:inline distT="0" distB="0" distL="0" distR="0" wp14:anchorId="5A8041BA" wp14:editId="10977BA1">
            <wp:extent cx="6120130" cy="2847340"/>
            <wp:effectExtent l="0" t="0" r="13970" b="1016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83CDDD5" w14:textId="7C9C1B67" w:rsidR="003D301B" w:rsidRDefault="003D301B" w:rsidP="00D90E98">
      <w:pPr>
        <w:spacing w:after="200" w:line="276" w:lineRule="auto"/>
        <w:rPr>
          <w:rFonts w:cs="Arial"/>
          <w:noProof/>
          <w:sz w:val="22"/>
          <w:szCs w:val="22"/>
          <w:lang w:eastAsia="en-GB"/>
        </w:rPr>
      </w:pPr>
      <w:r>
        <w:rPr>
          <w:rFonts w:cs="Arial"/>
          <w:noProof/>
          <w:sz w:val="22"/>
          <w:szCs w:val="22"/>
          <w:lang w:eastAsia="en-GB"/>
        </w:rPr>
        <w:t>Figure 4:</w:t>
      </w:r>
      <w:r w:rsidR="007B54F6">
        <w:rPr>
          <w:rFonts w:cs="Arial"/>
          <w:noProof/>
          <w:sz w:val="22"/>
          <w:szCs w:val="22"/>
          <w:lang w:eastAsia="en-GB"/>
        </w:rPr>
        <w:t xml:space="preserve"> A&amp;E</w:t>
      </w:r>
      <w:r>
        <w:rPr>
          <w:rFonts w:cs="Arial"/>
          <w:noProof/>
          <w:sz w:val="22"/>
          <w:szCs w:val="22"/>
          <w:lang w:eastAsia="en-GB"/>
        </w:rPr>
        <w:t xml:space="preserve"> FFT total responses comparison CWFT, NWL and National</w:t>
      </w:r>
    </w:p>
    <w:tbl>
      <w:tblPr>
        <w:tblW w:w="5576" w:type="pct"/>
        <w:tblInd w:w="-289" w:type="dxa"/>
        <w:tblLook w:val="04A0" w:firstRow="1" w:lastRow="0" w:firstColumn="1" w:lastColumn="0" w:noHBand="0" w:noVBand="1"/>
      </w:tblPr>
      <w:tblGrid>
        <w:gridCol w:w="738"/>
        <w:gridCol w:w="826"/>
        <w:gridCol w:w="900"/>
        <w:gridCol w:w="808"/>
        <w:gridCol w:w="743"/>
        <w:gridCol w:w="853"/>
        <w:gridCol w:w="833"/>
        <w:gridCol w:w="819"/>
        <w:gridCol w:w="864"/>
        <w:gridCol w:w="845"/>
        <w:gridCol w:w="798"/>
        <w:gridCol w:w="833"/>
        <w:gridCol w:w="877"/>
      </w:tblGrid>
      <w:tr w:rsidR="006F3194" w:rsidRPr="006F3194" w14:paraId="3B303D24" w14:textId="77777777" w:rsidTr="00C262DB">
        <w:trPr>
          <w:trHeight w:val="408"/>
        </w:trPr>
        <w:tc>
          <w:tcPr>
            <w:tcW w:w="5000" w:type="pct"/>
            <w:gridSpan w:val="13"/>
            <w:tcBorders>
              <w:top w:val="single" w:sz="4" w:space="0" w:color="auto"/>
              <w:left w:val="single" w:sz="4" w:space="0" w:color="auto"/>
              <w:bottom w:val="single" w:sz="4" w:space="0" w:color="auto"/>
              <w:right w:val="single" w:sz="4" w:space="0" w:color="000000"/>
            </w:tcBorders>
            <w:shd w:val="clear" w:color="000000" w:fill="92D050"/>
            <w:noWrap/>
            <w:vAlign w:val="bottom"/>
            <w:hideMark/>
          </w:tcPr>
          <w:p w14:paraId="553707BA" w14:textId="77777777" w:rsidR="006F3194" w:rsidRPr="006F3194" w:rsidRDefault="006F3194" w:rsidP="006F3194">
            <w:pPr>
              <w:spacing w:after="0"/>
              <w:jc w:val="center"/>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A&amp;E Total number of response</w:t>
            </w:r>
          </w:p>
        </w:tc>
      </w:tr>
      <w:tr w:rsidR="006F3194" w:rsidRPr="006F3194" w14:paraId="1421F9F0" w14:textId="77777777" w:rsidTr="00C262DB">
        <w:trPr>
          <w:trHeight w:val="408"/>
        </w:trPr>
        <w:tc>
          <w:tcPr>
            <w:tcW w:w="344" w:type="pct"/>
            <w:tcBorders>
              <w:top w:val="nil"/>
              <w:left w:val="single" w:sz="4" w:space="0" w:color="auto"/>
              <w:bottom w:val="single" w:sz="4" w:space="0" w:color="auto"/>
              <w:right w:val="single" w:sz="4" w:space="0" w:color="auto"/>
            </w:tcBorders>
            <w:shd w:val="clear" w:color="000000" w:fill="92D050"/>
            <w:noWrap/>
            <w:vAlign w:val="bottom"/>
            <w:hideMark/>
          </w:tcPr>
          <w:p w14:paraId="44A66E5C" w14:textId="77777777" w:rsidR="006F3194" w:rsidRPr="006F3194" w:rsidRDefault="006F3194" w:rsidP="006F3194">
            <w:pPr>
              <w:spacing w:after="0"/>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 </w:t>
            </w:r>
          </w:p>
        </w:tc>
        <w:tc>
          <w:tcPr>
            <w:tcW w:w="385" w:type="pct"/>
            <w:tcBorders>
              <w:top w:val="nil"/>
              <w:left w:val="nil"/>
              <w:bottom w:val="single" w:sz="4" w:space="0" w:color="auto"/>
              <w:right w:val="single" w:sz="4" w:space="0" w:color="auto"/>
            </w:tcBorders>
            <w:shd w:val="clear" w:color="000000" w:fill="92D050"/>
            <w:noWrap/>
            <w:vAlign w:val="bottom"/>
            <w:hideMark/>
          </w:tcPr>
          <w:p w14:paraId="3FE4A8EC"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Apr-23</w:t>
            </w:r>
          </w:p>
        </w:tc>
        <w:tc>
          <w:tcPr>
            <w:tcW w:w="419" w:type="pct"/>
            <w:tcBorders>
              <w:top w:val="nil"/>
              <w:left w:val="nil"/>
              <w:bottom w:val="single" w:sz="4" w:space="0" w:color="auto"/>
              <w:right w:val="single" w:sz="4" w:space="0" w:color="auto"/>
            </w:tcBorders>
            <w:shd w:val="clear" w:color="000000" w:fill="92D050"/>
            <w:noWrap/>
            <w:vAlign w:val="bottom"/>
            <w:hideMark/>
          </w:tcPr>
          <w:p w14:paraId="423135FC"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May-23</w:t>
            </w:r>
          </w:p>
        </w:tc>
        <w:tc>
          <w:tcPr>
            <w:tcW w:w="376" w:type="pct"/>
            <w:tcBorders>
              <w:top w:val="nil"/>
              <w:left w:val="nil"/>
              <w:bottom w:val="single" w:sz="4" w:space="0" w:color="auto"/>
              <w:right w:val="single" w:sz="4" w:space="0" w:color="auto"/>
            </w:tcBorders>
            <w:shd w:val="clear" w:color="000000" w:fill="92D050"/>
            <w:noWrap/>
            <w:vAlign w:val="bottom"/>
            <w:hideMark/>
          </w:tcPr>
          <w:p w14:paraId="74F0CCA0"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Jun-23</w:t>
            </w:r>
          </w:p>
        </w:tc>
        <w:tc>
          <w:tcPr>
            <w:tcW w:w="346" w:type="pct"/>
            <w:tcBorders>
              <w:top w:val="nil"/>
              <w:left w:val="nil"/>
              <w:bottom w:val="single" w:sz="4" w:space="0" w:color="auto"/>
              <w:right w:val="single" w:sz="4" w:space="0" w:color="auto"/>
            </w:tcBorders>
            <w:shd w:val="clear" w:color="000000" w:fill="92D050"/>
            <w:noWrap/>
            <w:vAlign w:val="bottom"/>
            <w:hideMark/>
          </w:tcPr>
          <w:p w14:paraId="54E70C49"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Jul-23</w:t>
            </w:r>
          </w:p>
        </w:tc>
        <w:tc>
          <w:tcPr>
            <w:tcW w:w="397" w:type="pct"/>
            <w:tcBorders>
              <w:top w:val="nil"/>
              <w:left w:val="nil"/>
              <w:bottom w:val="single" w:sz="4" w:space="0" w:color="auto"/>
              <w:right w:val="single" w:sz="4" w:space="0" w:color="auto"/>
            </w:tcBorders>
            <w:shd w:val="clear" w:color="000000" w:fill="92D050"/>
            <w:noWrap/>
            <w:vAlign w:val="bottom"/>
            <w:hideMark/>
          </w:tcPr>
          <w:p w14:paraId="3ECF3798"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Aug-23</w:t>
            </w:r>
          </w:p>
        </w:tc>
        <w:tc>
          <w:tcPr>
            <w:tcW w:w="388" w:type="pct"/>
            <w:tcBorders>
              <w:top w:val="nil"/>
              <w:left w:val="nil"/>
              <w:bottom w:val="single" w:sz="4" w:space="0" w:color="auto"/>
              <w:right w:val="single" w:sz="4" w:space="0" w:color="auto"/>
            </w:tcBorders>
            <w:shd w:val="clear" w:color="000000" w:fill="92D050"/>
            <w:noWrap/>
            <w:vAlign w:val="bottom"/>
            <w:hideMark/>
          </w:tcPr>
          <w:p w14:paraId="2E948B5A"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Sep-23</w:t>
            </w:r>
          </w:p>
        </w:tc>
        <w:tc>
          <w:tcPr>
            <w:tcW w:w="381" w:type="pct"/>
            <w:tcBorders>
              <w:top w:val="nil"/>
              <w:left w:val="nil"/>
              <w:bottom w:val="single" w:sz="4" w:space="0" w:color="auto"/>
              <w:right w:val="single" w:sz="4" w:space="0" w:color="auto"/>
            </w:tcBorders>
            <w:shd w:val="clear" w:color="000000" w:fill="92D050"/>
            <w:noWrap/>
            <w:vAlign w:val="bottom"/>
            <w:hideMark/>
          </w:tcPr>
          <w:p w14:paraId="13B2B9F7"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Oct-23</w:t>
            </w:r>
          </w:p>
        </w:tc>
        <w:tc>
          <w:tcPr>
            <w:tcW w:w="402" w:type="pct"/>
            <w:tcBorders>
              <w:top w:val="nil"/>
              <w:left w:val="nil"/>
              <w:bottom w:val="single" w:sz="4" w:space="0" w:color="auto"/>
              <w:right w:val="single" w:sz="4" w:space="0" w:color="auto"/>
            </w:tcBorders>
            <w:shd w:val="clear" w:color="000000" w:fill="92D050"/>
            <w:noWrap/>
            <w:vAlign w:val="bottom"/>
            <w:hideMark/>
          </w:tcPr>
          <w:p w14:paraId="4A94EA08"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Nov-23</w:t>
            </w:r>
          </w:p>
        </w:tc>
        <w:tc>
          <w:tcPr>
            <w:tcW w:w="393" w:type="pct"/>
            <w:tcBorders>
              <w:top w:val="nil"/>
              <w:left w:val="nil"/>
              <w:bottom w:val="single" w:sz="4" w:space="0" w:color="auto"/>
              <w:right w:val="single" w:sz="4" w:space="0" w:color="auto"/>
            </w:tcBorders>
            <w:shd w:val="clear" w:color="000000" w:fill="92D050"/>
            <w:noWrap/>
            <w:vAlign w:val="bottom"/>
            <w:hideMark/>
          </w:tcPr>
          <w:p w14:paraId="4DE322AD"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Dec-23</w:t>
            </w:r>
          </w:p>
        </w:tc>
        <w:tc>
          <w:tcPr>
            <w:tcW w:w="372" w:type="pct"/>
            <w:tcBorders>
              <w:top w:val="nil"/>
              <w:left w:val="nil"/>
              <w:bottom w:val="single" w:sz="4" w:space="0" w:color="auto"/>
              <w:right w:val="single" w:sz="4" w:space="0" w:color="auto"/>
            </w:tcBorders>
            <w:shd w:val="clear" w:color="000000" w:fill="92D050"/>
            <w:noWrap/>
            <w:vAlign w:val="bottom"/>
            <w:hideMark/>
          </w:tcPr>
          <w:p w14:paraId="1DB624A9"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Jan-24</w:t>
            </w:r>
          </w:p>
        </w:tc>
        <w:tc>
          <w:tcPr>
            <w:tcW w:w="388" w:type="pct"/>
            <w:tcBorders>
              <w:top w:val="nil"/>
              <w:left w:val="nil"/>
              <w:bottom w:val="single" w:sz="4" w:space="0" w:color="auto"/>
              <w:right w:val="single" w:sz="4" w:space="0" w:color="auto"/>
            </w:tcBorders>
            <w:shd w:val="clear" w:color="000000" w:fill="92D050"/>
            <w:noWrap/>
            <w:vAlign w:val="bottom"/>
            <w:hideMark/>
          </w:tcPr>
          <w:p w14:paraId="6FA92AC1"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Feb-24</w:t>
            </w:r>
          </w:p>
        </w:tc>
        <w:tc>
          <w:tcPr>
            <w:tcW w:w="408" w:type="pct"/>
            <w:tcBorders>
              <w:top w:val="nil"/>
              <w:left w:val="nil"/>
              <w:bottom w:val="single" w:sz="4" w:space="0" w:color="auto"/>
              <w:right w:val="single" w:sz="4" w:space="0" w:color="auto"/>
            </w:tcBorders>
            <w:shd w:val="clear" w:color="000000" w:fill="92D050"/>
            <w:noWrap/>
            <w:vAlign w:val="bottom"/>
            <w:hideMark/>
          </w:tcPr>
          <w:p w14:paraId="47DA1344"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Mar-24</w:t>
            </w:r>
          </w:p>
        </w:tc>
      </w:tr>
      <w:tr w:rsidR="006F3194" w:rsidRPr="006F3194" w14:paraId="58C807B9" w14:textId="77777777" w:rsidTr="00C262DB">
        <w:trPr>
          <w:trHeight w:val="408"/>
        </w:trPr>
        <w:tc>
          <w:tcPr>
            <w:tcW w:w="344" w:type="pct"/>
            <w:tcBorders>
              <w:top w:val="nil"/>
              <w:left w:val="single" w:sz="4" w:space="0" w:color="auto"/>
              <w:bottom w:val="single" w:sz="4" w:space="0" w:color="auto"/>
              <w:right w:val="single" w:sz="4" w:space="0" w:color="auto"/>
            </w:tcBorders>
            <w:shd w:val="clear" w:color="000000" w:fill="92D050"/>
            <w:noWrap/>
            <w:vAlign w:val="bottom"/>
            <w:hideMark/>
          </w:tcPr>
          <w:p w14:paraId="767E24AE" w14:textId="77777777" w:rsidR="006F3194" w:rsidRPr="006F3194" w:rsidRDefault="006F3194" w:rsidP="006F3194">
            <w:pPr>
              <w:spacing w:after="0"/>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CWFT</w:t>
            </w:r>
          </w:p>
        </w:tc>
        <w:tc>
          <w:tcPr>
            <w:tcW w:w="385" w:type="pct"/>
            <w:tcBorders>
              <w:top w:val="nil"/>
              <w:left w:val="nil"/>
              <w:bottom w:val="single" w:sz="4" w:space="0" w:color="auto"/>
              <w:right w:val="single" w:sz="4" w:space="0" w:color="auto"/>
            </w:tcBorders>
            <w:shd w:val="clear" w:color="000000" w:fill="F2F2F2"/>
            <w:noWrap/>
            <w:vAlign w:val="bottom"/>
            <w:hideMark/>
          </w:tcPr>
          <w:p w14:paraId="605225C3"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3433</w:t>
            </w:r>
          </w:p>
        </w:tc>
        <w:tc>
          <w:tcPr>
            <w:tcW w:w="419" w:type="pct"/>
            <w:tcBorders>
              <w:top w:val="nil"/>
              <w:left w:val="nil"/>
              <w:bottom w:val="single" w:sz="4" w:space="0" w:color="auto"/>
              <w:right w:val="single" w:sz="4" w:space="0" w:color="auto"/>
            </w:tcBorders>
            <w:shd w:val="clear" w:color="000000" w:fill="F2F2F2"/>
            <w:noWrap/>
            <w:vAlign w:val="bottom"/>
            <w:hideMark/>
          </w:tcPr>
          <w:p w14:paraId="4A7FA219"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3989</w:t>
            </w:r>
          </w:p>
        </w:tc>
        <w:tc>
          <w:tcPr>
            <w:tcW w:w="376" w:type="pct"/>
            <w:tcBorders>
              <w:top w:val="nil"/>
              <w:left w:val="nil"/>
              <w:bottom w:val="single" w:sz="4" w:space="0" w:color="auto"/>
              <w:right w:val="single" w:sz="4" w:space="0" w:color="auto"/>
            </w:tcBorders>
            <w:shd w:val="clear" w:color="000000" w:fill="F2F2F2"/>
            <w:noWrap/>
            <w:vAlign w:val="bottom"/>
            <w:hideMark/>
          </w:tcPr>
          <w:p w14:paraId="1D7A8761"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3887</w:t>
            </w:r>
          </w:p>
        </w:tc>
        <w:tc>
          <w:tcPr>
            <w:tcW w:w="346" w:type="pct"/>
            <w:tcBorders>
              <w:top w:val="nil"/>
              <w:left w:val="nil"/>
              <w:bottom w:val="single" w:sz="4" w:space="0" w:color="auto"/>
              <w:right w:val="single" w:sz="4" w:space="0" w:color="auto"/>
            </w:tcBorders>
            <w:shd w:val="clear" w:color="000000" w:fill="F2F2F2"/>
            <w:noWrap/>
            <w:vAlign w:val="bottom"/>
            <w:hideMark/>
          </w:tcPr>
          <w:p w14:paraId="00A8561B"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3879</w:t>
            </w:r>
          </w:p>
        </w:tc>
        <w:tc>
          <w:tcPr>
            <w:tcW w:w="397" w:type="pct"/>
            <w:tcBorders>
              <w:top w:val="nil"/>
              <w:left w:val="nil"/>
              <w:bottom w:val="single" w:sz="4" w:space="0" w:color="auto"/>
              <w:right w:val="single" w:sz="4" w:space="0" w:color="auto"/>
            </w:tcBorders>
            <w:shd w:val="clear" w:color="000000" w:fill="F2F2F2"/>
            <w:noWrap/>
            <w:vAlign w:val="bottom"/>
            <w:hideMark/>
          </w:tcPr>
          <w:p w14:paraId="54FBF052"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3506</w:t>
            </w:r>
          </w:p>
        </w:tc>
        <w:tc>
          <w:tcPr>
            <w:tcW w:w="388" w:type="pct"/>
            <w:tcBorders>
              <w:top w:val="nil"/>
              <w:left w:val="nil"/>
              <w:bottom w:val="single" w:sz="4" w:space="0" w:color="auto"/>
              <w:right w:val="single" w:sz="4" w:space="0" w:color="auto"/>
            </w:tcBorders>
            <w:shd w:val="clear" w:color="000000" w:fill="F2F2F2"/>
            <w:noWrap/>
            <w:vAlign w:val="bottom"/>
            <w:hideMark/>
          </w:tcPr>
          <w:p w14:paraId="603F6190"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3860</w:t>
            </w:r>
          </w:p>
        </w:tc>
        <w:tc>
          <w:tcPr>
            <w:tcW w:w="381" w:type="pct"/>
            <w:tcBorders>
              <w:top w:val="nil"/>
              <w:left w:val="nil"/>
              <w:bottom w:val="single" w:sz="4" w:space="0" w:color="auto"/>
              <w:right w:val="single" w:sz="4" w:space="0" w:color="auto"/>
            </w:tcBorders>
            <w:shd w:val="clear" w:color="000000" w:fill="F2F2F2"/>
            <w:noWrap/>
            <w:vAlign w:val="bottom"/>
            <w:hideMark/>
          </w:tcPr>
          <w:p w14:paraId="7A8ECC91"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4696</w:t>
            </w:r>
          </w:p>
        </w:tc>
        <w:tc>
          <w:tcPr>
            <w:tcW w:w="402" w:type="pct"/>
            <w:tcBorders>
              <w:top w:val="nil"/>
              <w:left w:val="nil"/>
              <w:bottom w:val="single" w:sz="4" w:space="0" w:color="auto"/>
              <w:right w:val="single" w:sz="4" w:space="0" w:color="auto"/>
            </w:tcBorders>
            <w:shd w:val="clear" w:color="000000" w:fill="F2F2F2"/>
            <w:noWrap/>
            <w:vAlign w:val="bottom"/>
            <w:hideMark/>
          </w:tcPr>
          <w:p w14:paraId="534ACF29"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3666</w:t>
            </w:r>
          </w:p>
        </w:tc>
        <w:tc>
          <w:tcPr>
            <w:tcW w:w="393" w:type="pct"/>
            <w:tcBorders>
              <w:top w:val="nil"/>
              <w:left w:val="nil"/>
              <w:bottom w:val="single" w:sz="4" w:space="0" w:color="auto"/>
              <w:right w:val="single" w:sz="4" w:space="0" w:color="auto"/>
            </w:tcBorders>
            <w:shd w:val="clear" w:color="000000" w:fill="F2F2F2"/>
            <w:noWrap/>
            <w:vAlign w:val="bottom"/>
            <w:hideMark/>
          </w:tcPr>
          <w:p w14:paraId="77FA34BA"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3851</w:t>
            </w:r>
          </w:p>
        </w:tc>
        <w:tc>
          <w:tcPr>
            <w:tcW w:w="372" w:type="pct"/>
            <w:tcBorders>
              <w:top w:val="nil"/>
              <w:left w:val="nil"/>
              <w:bottom w:val="single" w:sz="4" w:space="0" w:color="auto"/>
              <w:right w:val="single" w:sz="4" w:space="0" w:color="auto"/>
            </w:tcBorders>
            <w:shd w:val="clear" w:color="000000" w:fill="F2F2F2"/>
            <w:noWrap/>
            <w:vAlign w:val="bottom"/>
            <w:hideMark/>
          </w:tcPr>
          <w:p w14:paraId="54C5C5CB"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4878</w:t>
            </w:r>
          </w:p>
        </w:tc>
        <w:tc>
          <w:tcPr>
            <w:tcW w:w="388" w:type="pct"/>
            <w:tcBorders>
              <w:top w:val="nil"/>
              <w:left w:val="nil"/>
              <w:bottom w:val="single" w:sz="4" w:space="0" w:color="auto"/>
              <w:right w:val="single" w:sz="4" w:space="0" w:color="auto"/>
            </w:tcBorders>
            <w:shd w:val="clear" w:color="000000" w:fill="F2F2F2"/>
            <w:noWrap/>
            <w:vAlign w:val="bottom"/>
            <w:hideMark/>
          </w:tcPr>
          <w:p w14:paraId="4241F143"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4937</w:t>
            </w:r>
          </w:p>
        </w:tc>
        <w:tc>
          <w:tcPr>
            <w:tcW w:w="408" w:type="pct"/>
            <w:tcBorders>
              <w:top w:val="nil"/>
              <w:left w:val="nil"/>
              <w:bottom w:val="single" w:sz="4" w:space="0" w:color="auto"/>
              <w:right w:val="single" w:sz="4" w:space="0" w:color="auto"/>
            </w:tcBorders>
            <w:shd w:val="clear" w:color="000000" w:fill="F2F2F2"/>
            <w:noWrap/>
            <w:vAlign w:val="bottom"/>
            <w:hideMark/>
          </w:tcPr>
          <w:p w14:paraId="76D15C1F"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4976</w:t>
            </w:r>
          </w:p>
        </w:tc>
      </w:tr>
      <w:tr w:rsidR="006F3194" w:rsidRPr="006F3194" w14:paraId="0DCCEFF8" w14:textId="77777777" w:rsidTr="00C262DB">
        <w:trPr>
          <w:trHeight w:val="408"/>
        </w:trPr>
        <w:tc>
          <w:tcPr>
            <w:tcW w:w="344" w:type="pct"/>
            <w:tcBorders>
              <w:top w:val="nil"/>
              <w:left w:val="single" w:sz="4" w:space="0" w:color="auto"/>
              <w:bottom w:val="single" w:sz="4" w:space="0" w:color="auto"/>
              <w:right w:val="single" w:sz="4" w:space="0" w:color="auto"/>
            </w:tcBorders>
            <w:shd w:val="clear" w:color="000000" w:fill="92D050"/>
            <w:noWrap/>
            <w:vAlign w:val="bottom"/>
            <w:hideMark/>
          </w:tcPr>
          <w:p w14:paraId="0CDD24CB" w14:textId="77777777" w:rsidR="006F3194" w:rsidRPr="006F3194" w:rsidRDefault="006F3194" w:rsidP="006F3194">
            <w:pPr>
              <w:spacing w:after="0"/>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LNW</w:t>
            </w:r>
          </w:p>
        </w:tc>
        <w:tc>
          <w:tcPr>
            <w:tcW w:w="385" w:type="pct"/>
            <w:tcBorders>
              <w:top w:val="nil"/>
              <w:left w:val="nil"/>
              <w:bottom w:val="single" w:sz="4" w:space="0" w:color="auto"/>
              <w:right w:val="single" w:sz="4" w:space="0" w:color="auto"/>
            </w:tcBorders>
            <w:shd w:val="clear" w:color="000000" w:fill="F2F2F2"/>
            <w:noWrap/>
            <w:vAlign w:val="bottom"/>
            <w:hideMark/>
          </w:tcPr>
          <w:p w14:paraId="1AD93865"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1533</w:t>
            </w:r>
          </w:p>
        </w:tc>
        <w:tc>
          <w:tcPr>
            <w:tcW w:w="419" w:type="pct"/>
            <w:tcBorders>
              <w:top w:val="nil"/>
              <w:left w:val="nil"/>
              <w:bottom w:val="single" w:sz="4" w:space="0" w:color="auto"/>
              <w:right w:val="single" w:sz="4" w:space="0" w:color="auto"/>
            </w:tcBorders>
            <w:shd w:val="clear" w:color="000000" w:fill="F2F2F2"/>
            <w:noWrap/>
            <w:vAlign w:val="bottom"/>
            <w:hideMark/>
          </w:tcPr>
          <w:p w14:paraId="1A553A75"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1627</w:t>
            </w:r>
          </w:p>
        </w:tc>
        <w:tc>
          <w:tcPr>
            <w:tcW w:w="376" w:type="pct"/>
            <w:tcBorders>
              <w:top w:val="nil"/>
              <w:left w:val="nil"/>
              <w:bottom w:val="single" w:sz="4" w:space="0" w:color="auto"/>
              <w:right w:val="single" w:sz="4" w:space="0" w:color="auto"/>
            </w:tcBorders>
            <w:shd w:val="clear" w:color="000000" w:fill="F2F2F2"/>
            <w:noWrap/>
            <w:vAlign w:val="bottom"/>
            <w:hideMark/>
          </w:tcPr>
          <w:p w14:paraId="52B06415"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1607</w:t>
            </w:r>
          </w:p>
        </w:tc>
        <w:tc>
          <w:tcPr>
            <w:tcW w:w="346" w:type="pct"/>
            <w:tcBorders>
              <w:top w:val="nil"/>
              <w:left w:val="nil"/>
              <w:bottom w:val="single" w:sz="4" w:space="0" w:color="auto"/>
              <w:right w:val="single" w:sz="4" w:space="0" w:color="auto"/>
            </w:tcBorders>
            <w:shd w:val="clear" w:color="000000" w:fill="F2F2F2"/>
            <w:noWrap/>
            <w:vAlign w:val="bottom"/>
            <w:hideMark/>
          </w:tcPr>
          <w:p w14:paraId="53FC61B4"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1888</w:t>
            </w:r>
          </w:p>
        </w:tc>
        <w:tc>
          <w:tcPr>
            <w:tcW w:w="397" w:type="pct"/>
            <w:tcBorders>
              <w:top w:val="nil"/>
              <w:left w:val="nil"/>
              <w:bottom w:val="single" w:sz="4" w:space="0" w:color="auto"/>
              <w:right w:val="single" w:sz="4" w:space="0" w:color="auto"/>
            </w:tcBorders>
            <w:shd w:val="clear" w:color="000000" w:fill="F2F2F2"/>
            <w:noWrap/>
            <w:vAlign w:val="bottom"/>
            <w:hideMark/>
          </w:tcPr>
          <w:p w14:paraId="143D1BB2"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1082</w:t>
            </w:r>
          </w:p>
        </w:tc>
        <w:tc>
          <w:tcPr>
            <w:tcW w:w="388" w:type="pct"/>
            <w:tcBorders>
              <w:top w:val="nil"/>
              <w:left w:val="nil"/>
              <w:bottom w:val="single" w:sz="4" w:space="0" w:color="auto"/>
              <w:right w:val="single" w:sz="4" w:space="0" w:color="auto"/>
            </w:tcBorders>
            <w:shd w:val="clear" w:color="000000" w:fill="F2F2F2"/>
            <w:noWrap/>
            <w:vAlign w:val="bottom"/>
            <w:hideMark/>
          </w:tcPr>
          <w:p w14:paraId="075C4553"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1956</w:t>
            </w:r>
          </w:p>
        </w:tc>
        <w:tc>
          <w:tcPr>
            <w:tcW w:w="381" w:type="pct"/>
            <w:tcBorders>
              <w:top w:val="nil"/>
              <w:left w:val="nil"/>
              <w:bottom w:val="single" w:sz="4" w:space="0" w:color="auto"/>
              <w:right w:val="single" w:sz="4" w:space="0" w:color="auto"/>
            </w:tcBorders>
            <w:shd w:val="clear" w:color="000000" w:fill="F2F2F2"/>
            <w:noWrap/>
            <w:vAlign w:val="bottom"/>
            <w:hideMark/>
          </w:tcPr>
          <w:p w14:paraId="79DC2377"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5390</w:t>
            </w:r>
          </w:p>
        </w:tc>
        <w:tc>
          <w:tcPr>
            <w:tcW w:w="402" w:type="pct"/>
            <w:tcBorders>
              <w:top w:val="nil"/>
              <w:left w:val="nil"/>
              <w:bottom w:val="single" w:sz="4" w:space="0" w:color="auto"/>
              <w:right w:val="single" w:sz="4" w:space="0" w:color="auto"/>
            </w:tcBorders>
            <w:shd w:val="clear" w:color="000000" w:fill="F2F2F2"/>
            <w:noWrap/>
            <w:vAlign w:val="bottom"/>
            <w:hideMark/>
          </w:tcPr>
          <w:p w14:paraId="0D4993C7"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4699</w:t>
            </w:r>
          </w:p>
        </w:tc>
        <w:tc>
          <w:tcPr>
            <w:tcW w:w="393" w:type="pct"/>
            <w:tcBorders>
              <w:top w:val="nil"/>
              <w:left w:val="nil"/>
              <w:bottom w:val="single" w:sz="4" w:space="0" w:color="auto"/>
              <w:right w:val="single" w:sz="4" w:space="0" w:color="auto"/>
            </w:tcBorders>
            <w:shd w:val="clear" w:color="000000" w:fill="F2F2F2"/>
            <w:noWrap/>
            <w:vAlign w:val="bottom"/>
            <w:hideMark/>
          </w:tcPr>
          <w:p w14:paraId="5AB70365"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3076</w:t>
            </w:r>
          </w:p>
        </w:tc>
        <w:tc>
          <w:tcPr>
            <w:tcW w:w="372" w:type="pct"/>
            <w:tcBorders>
              <w:top w:val="nil"/>
              <w:left w:val="nil"/>
              <w:bottom w:val="single" w:sz="4" w:space="0" w:color="auto"/>
              <w:right w:val="single" w:sz="4" w:space="0" w:color="auto"/>
            </w:tcBorders>
            <w:shd w:val="clear" w:color="000000" w:fill="F2F2F2"/>
            <w:noWrap/>
            <w:vAlign w:val="bottom"/>
            <w:hideMark/>
          </w:tcPr>
          <w:p w14:paraId="3A0A2C2F"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3665</w:t>
            </w:r>
          </w:p>
        </w:tc>
        <w:tc>
          <w:tcPr>
            <w:tcW w:w="388" w:type="pct"/>
            <w:tcBorders>
              <w:top w:val="nil"/>
              <w:left w:val="nil"/>
              <w:bottom w:val="single" w:sz="4" w:space="0" w:color="auto"/>
              <w:right w:val="single" w:sz="4" w:space="0" w:color="auto"/>
            </w:tcBorders>
            <w:shd w:val="clear" w:color="000000" w:fill="F2F2F2"/>
            <w:noWrap/>
            <w:vAlign w:val="bottom"/>
            <w:hideMark/>
          </w:tcPr>
          <w:p w14:paraId="334DCF88"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6228</w:t>
            </w:r>
          </w:p>
        </w:tc>
        <w:tc>
          <w:tcPr>
            <w:tcW w:w="408" w:type="pct"/>
            <w:tcBorders>
              <w:top w:val="nil"/>
              <w:left w:val="nil"/>
              <w:bottom w:val="single" w:sz="4" w:space="0" w:color="auto"/>
              <w:right w:val="single" w:sz="4" w:space="0" w:color="auto"/>
            </w:tcBorders>
            <w:shd w:val="clear" w:color="000000" w:fill="F2F2F2"/>
            <w:noWrap/>
            <w:vAlign w:val="bottom"/>
            <w:hideMark/>
          </w:tcPr>
          <w:p w14:paraId="4B1F60AF"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5082</w:t>
            </w:r>
          </w:p>
        </w:tc>
      </w:tr>
      <w:tr w:rsidR="006F3194" w:rsidRPr="006F3194" w14:paraId="021BBFCF" w14:textId="77777777" w:rsidTr="00C262DB">
        <w:trPr>
          <w:trHeight w:val="408"/>
        </w:trPr>
        <w:tc>
          <w:tcPr>
            <w:tcW w:w="344" w:type="pct"/>
            <w:tcBorders>
              <w:top w:val="nil"/>
              <w:left w:val="single" w:sz="4" w:space="0" w:color="auto"/>
              <w:bottom w:val="single" w:sz="4" w:space="0" w:color="auto"/>
              <w:right w:val="single" w:sz="4" w:space="0" w:color="auto"/>
            </w:tcBorders>
            <w:shd w:val="clear" w:color="000000" w:fill="92D050"/>
            <w:noWrap/>
            <w:vAlign w:val="bottom"/>
            <w:hideMark/>
          </w:tcPr>
          <w:p w14:paraId="0A1EC122" w14:textId="77777777" w:rsidR="006F3194" w:rsidRPr="006F3194" w:rsidRDefault="006F3194" w:rsidP="006F3194">
            <w:pPr>
              <w:spacing w:after="0"/>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ICH</w:t>
            </w:r>
          </w:p>
        </w:tc>
        <w:tc>
          <w:tcPr>
            <w:tcW w:w="385" w:type="pct"/>
            <w:tcBorders>
              <w:top w:val="nil"/>
              <w:left w:val="nil"/>
              <w:bottom w:val="single" w:sz="4" w:space="0" w:color="auto"/>
              <w:right w:val="single" w:sz="4" w:space="0" w:color="auto"/>
            </w:tcBorders>
            <w:shd w:val="clear" w:color="000000" w:fill="F2F2F2"/>
            <w:noWrap/>
            <w:vAlign w:val="bottom"/>
            <w:hideMark/>
          </w:tcPr>
          <w:p w14:paraId="58E3E621"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1183</w:t>
            </w:r>
          </w:p>
        </w:tc>
        <w:tc>
          <w:tcPr>
            <w:tcW w:w="419" w:type="pct"/>
            <w:tcBorders>
              <w:top w:val="nil"/>
              <w:left w:val="nil"/>
              <w:bottom w:val="single" w:sz="4" w:space="0" w:color="auto"/>
              <w:right w:val="single" w:sz="4" w:space="0" w:color="auto"/>
            </w:tcBorders>
            <w:shd w:val="clear" w:color="000000" w:fill="F2F2F2"/>
            <w:noWrap/>
            <w:vAlign w:val="bottom"/>
            <w:hideMark/>
          </w:tcPr>
          <w:p w14:paraId="3A006358"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1268</w:t>
            </w:r>
          </w:p>
        </w:tc>
        <w:tc>
          <w:tcPr>
            <w:tcW w:w="376" w:type="pct"/>
            <w:tcBorders>
              <w:top w:val="nil"/>
              <w:left w:val="nil"/>
              <w:bottom w:val="single" w:sz="4" w:space="0" w:color="auto"/>
              <w:right w:val="single" w:sz="4" w:space="0" w:color="auto"/>
            </w:tcBorders>
            <w:shd w:val="clear" w:color="000000" w:fill="F2F2F2"/>
            <w:noWrap/>
            <w:vAlign w:val="bottom"/>
            <w:hideMark/>
          </w:tcPr>
          <w:p w14:paraId="3BEFFB43"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1105</w:t>
            </w:r>
          </w:p>
        </w:tc>
        <w:tc>
          <w:tcPr>
            <w:tcW w:w="346" w:type="pct"/>
            <w:tcBorders>
              <w:top w:val="nil"/>
              <w:left w:val="nil"/>
              <w:bottom w:val="single" w:sz="4" w:space="0" w:color="auto"/>
              <w:right w:val="single" w:sz="4" w:space="0" w:color="auto"/>
            </w:tcBorders>
            <w:shd w:val="clear" w:color="000000" w:fill="F2F2F2"/>
            <w:noWrap/>
            <w:vAlign w:val="bottom"/>
            <w:hideMark/>
          </w:tcPr>
          <w:p w14:paraId="00872072"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1287</w:t>
            </w:r>
          </w:p>
        </w:tc>
        <w:tc>
          <w:tcPr>
            <w:tcW w:w="397" w:type="pct"/>
            <w:tcBorders>
              <w:top w:val="nil"/>
              <w:left w:val="nil"/>
              <w:bottom w:val="single" w:sz="4" w:space="0" w:color="auto"/>
              <w:right w:val="single" w:sz="4" w:space="0" w:color="auto"/>
            </w:tcBorders>
            <w:shd w:val="clear" w:color="000000" w:fill="F2F2F2"/>
            <w:noWrap/>
            <w:vAlign w:val="bottom"/>
            <w:hideMark/>
          </w:tcPr>
          <w:p w14:paraId="5AF4667E"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1194</w:t>
            </w:r>
          </w:p>
        </w:tc>
        <w:tc>
          <w:tcPr>
            <w:tcW w:w="388" w:type="pct"/>
            <w:tcBorders>
              <w:top w:val="nil"/>
              <w:left w:val="nil"/>
              <w:bottom w:val="single" w:sz="4" w:space="0" w:color="auto"/>
              <w:right w:val="single" w:sz="4" w:space="0" w:color="auto"/>
            </w:tcBorders>
            <w:shd w:val="clear" w:color="000000" w:fill="F2F2F2"/>
            <w:noWrap/>
            <w:vAlign w:val="bottom"/>
            <w:hideMark/>
          </w:tcPr>
          <w:p w14:paraId="6D0CC8A3"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1147</w:t>
            </w:r>
          </w:p>
        </w:tc>
        <w:tc>
          <w:tcPr>
            <w:tcW w:w="381" w:type="pct"/>
            <w:tcBorders>
              <w:top w:val="nil"/>
              <w:left w:val="nil"/>
              <w:bottom w:val="single" w:sz="4" w:space="0" w:color="auto"/>
              <w:right w:val="single" w:sz="4" w:space="0" w:color="auto"/>
            </w:tcBorders>
            <w:shd w:val="clear" w:color="000000" w:fill="F2F2F2"/>
            <w:noWrap/>
            <w:vAlign w:val="bottom"/>
            <w:hideMark/>
          </w:tcPr>
          <w:p w14:paraId="1E7A0ADB"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1134</w:t>
            </w:r>
          </w:p>
        </w:tc>
        <w:tc>
          <w:tcPr>
            <w:tcW w:w="402" w:type="pct"/>
            <w:tcBorders>
              <w:top w:val="nil"/>
              <w:left w:val="nil"/>
              <w:bottom w:val="single" w:sz="4" w:space="0" w:color="auto"/>
              <w:right w:val="single" w:sz="4" w:space="0" w:color="auto"/>
            </w:tcBorders>
            <w:shd w:val="clear" w:color="000000" w:fill="F2F2F2"/>
            <w:noWrap/>
            <w:vAlign w:val="bottom"/>
            <w:hideMark/>
          </w:tcPr>
          <w:p w14:paraId="4AFF2DED"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1266</w:t>
            </w:r>
          </w:p>
        </w:tc>
        <w:tc>
          <w:tcPr>
            <w:tcW w:w="393" w:type="pct"/>
            <w:tcBorders>
              <w:top w:val="nil"/>
              <w:left w:val="nil"/>
              <w:bottom w:val="single" w:sz="4" w:space="0" w:color="auto"/>
              <w:right w:val="single" w:sz="4" w:space="0" w:color="auto"/>
            </w:tcBorders>
            <w:shd w:val="clear" w:color="000000" w:fill="F2F2F2"/>
            <w:noWrap/>
            <w:vAlign w:val="bottom"/>
            <w:hideMark/>
          </w:tcPr>
          <w:p w14:paraId="3A91CA0B"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1266</w:t>
            </w:r>
          </w:p>
        </w:tc>
        <w:tc>
          <w:tcPr>
            <w:tcW w:w="372" w:type="pct"/>
            <w:tcBorders>
              <w:top w:val="nil"/>
              <w:left w:val="nil"/>
              <w:bottom w:val="single" w:sz="4" w:space="0" w:color="auto"/>
              <w:right w:val="single" w:sz="4" w:space="0" w:color="auto"/>
            </w:tcBorders>
            <w:shd w:val="clear" w:color="000000" w:fill="F2F2F2"/>
            <w:noWrap/>
            <w:vAlign w:val="bottom"/>
            <w:hideMark/>
          </w:tcPr>
          <w:p w14:paraId="0600E5E3"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1471</w:t>
            </w:r>
          </w:p>
        </w:tc>
        <w:tc>
          <w:tcPr>
            <w:tcW w:w="388" w:type="pct"/>
            <w:tcBorders>
              <w:top w:val="nil"/>
              <w:left w:val="nil"/>
              <w:bottom w:val="single" w:sz="4" w:space="0" w:color="auto"/>
              <w:right w:val="single" w:sz="4" w:space="0" w:color="auto"/>
            </w:tcBorders>
            <w:shd w:val="clear" w:color="000000" w:fill="F2F2F2"/>
            <w:noWrap/>
            <w:vAlign w:val="bottom"/>
            <w:hideMark/>
          </w:tcPr>
          <w:p w14:paraId="6B7FD96E"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1123</w:t>
            </w:r>
          </w:p>
        </w:tc>
        <w:tc>
          <w:tcPr>
            <w:tcW w:w="408" w:type="pct"/>
            <w:tcBorders>
              <w:top w:val="nil"/>
              <w:left w:val="nil"/>
              <w:bottom w:val="single" w:sz="4" w:space="0" w:color="auto"/>
              <w:right w:val="single" w:sz="4" w:space="0" w:color="auto"/>
            </w:tcBorders>
            <w:shd w:val="clear" w:color="000000" w:fill="F2F2F2"/>
            <w:noWrap/>
            <w:vAlign w:val="bottom"/>
            <w:hideMark/>
          </w:tcPr>
          <w:p w14:paraId="22C531FF"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1130</w:t>
            </w:r>
          </w:p>
        </w:tc>
      </w:tr>
      <w:tr w:rsidR="006F3194" w:rsidRPr="006F3194" w14:paraId="64C124CF" w14:textId="77777777" w:rsidTr="00C262DB">
        <w:trPr>
          <w:trHeight w:val="408"/>
        </w:trPr>
        <w:tc>
          <w:tcPr>
            <w:tcW w:w="344" w:type="pct"/>
            <w:tcBorders>
              <w:top w:val="nil"/>
              <w:left w:val="single" w:sz="4" w:space="0" w:color="auto"/>
              <w:bottom w:val="single" w:sz="4" w:space="0" w:color="auto"/>
              <w:right w:val="single" w:sz="4" w:space="0" w:color="auto"/>
            </w:tcBorders>
            <w:shd w:val="clear" w:color="000000" w:fill="92D050"/>
            <w:noWrap/>
            <w:vAlign w:val="bottom"/>
            <w:hideMark/>
          </w:tcPr>
          <w:p w14:paraId="7D9A1634" w14:textId="77777777" w:rsidR="006F3194" w:rsidRPr="006F3194" w:rsidRDefault="006F3194" w:rsidP="006F3194">
            <w:pPr>
              <w:spacing w:after="0"/>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THH</w:t>
            </w:r>
          </w:p>
        </w:tc>
        <w:tc>
          <w:tcPr>
            <w:tcW w:w="385" w:type="pct"/>
            <w:tcBorders>
              <w:top w:val="nil"/>
              <w:left w:val="nil"/>
              <w:bottom w:val="single" w:sz="4" w:space="0" w:color="auto"/>
              <w:right w:val="single" w:sz="4" w:space="0" w:color="auto"/>
            </w:tcBorders>
            <w:shd w:val="clear" w:color="000000" w:fill="F2F2F2"/>
            <w:noWrap/>
            <w:vAlign w:val="bottom"/>
            <w:hideMark/>
          </w:tcPr>
          <w:p w14:paraId="1B52B6F7"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778</w:t>
            </w:r>
          </w:p>
        </w:tc>
        <w:tc>
          <w:tcPr>
            <w:tcW w:w="419" w:type="pct"/>
            <w:tcBorders>
              <w:top w:val="nil"/>
              <w:left w:val="nil"/>
              <w:bottom w:val="single" w:sz="4" w:space="0" w:color="auto"/>
              <w:right w:val="single" w:sz="4" w:space="0" w:color="auto"/>
            </w:tcBorders>
            <w:shd w:val="clear" w:color="000000" w:fill="F2F2F2"/>
            <w:noWrap/>
            <w:vAlign w:val="bottom"/>
            <w:hideMark/>
          </w:tcPr>
          <w:p w14:paraId="4F41E5B1"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778</w:t>
            </w:r>
          </w:p>
        </w:tc>
        <w:tc>
          <w:tcPr>
            <w:tcW w:w="376" w:type="pct"/>
            <w:tcBorders>
              <w:top w:val="nil"/>
              <w:left w:val="nil"/>
              <w:bottom w:val="single" w:sz="4" w:space="0" w:color="auto"/>
              <w:right w:val="single" w:sz="4" w:space="0" w:color="auto"/>
            </w:tcBorders>
            <w:shd w:val="clear" w:color="000000" w:fill="F2F2F2"/>
            <w:noWrap/>
            <w:vAlign w:val="bottom"/>
            <w:hideMark/>
          </w:tcPr>
          <w:p w14:paraId="2E15877A"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776</w:t>
            </w:r>
          </w:p>
        </w:tc>
        <w:tc>
          <w:tcPr>
            <w:tcW w:w="346" w:type="pct"/>
            <w:tcBorders>
              <w:top w:val="nil"/>
              <w:left w:val="nil"/>
              <w:bottom w:val="single" w:sz="4" w:space="0" w:color="auto"/>
              <w:right w:val="single" w:sz="4" w:space="0" w:color="auto"/>
            </w:tcBorders>
            <w:shd w:val="clear" w:color="000000" w:fill="F2F2F2"/>
            <w:noWrap/>
            <w:vAlign w:val="bottom"/>
            <w:hideMark/>
          </w:tcPr>
          <w:p w14:paraId="0AFB1470"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741</w:t>
            </w:r>
          </w:p>
        </w:tc>
        <w:tc>
          <w:tcPr>
            <w:tcW w:w="397" w:type="pct"/>
            <w:tcBorders>
              <w:top w:val="nil"/>
              <w:left w:val="nil"/>
              <w:bottom w:val="single" w:sz="4" w:space="0" w:color="auto"/>
              <w:right w:val="single" w:sz="4" w:space="0" w:color="auto"/>
            </w:tcBorders>
            <w:shd w:val="clear" w:color="000000" w:fill="F2F2F2"/>
            <w:noWrap/>
            <w:vAlign w:val="bottom"/>
            <w:hideMark/>
          </w:tcPr>
          <w:p w14:paraId="5D4BBA3E"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753</w:t>
            </w:r>
          </w:p>
        </w:tc>
        <w:tc>
          <w:tcPr>
            <w:tcW w:w="388" w:type="pct"/>
            <w:tcBorders>
              <w:top w:val="nil"/>
              <w:left w:val="nil"/>
              <w:bottom w:val="single" w:sz="4" w:space="0" w:color="auto"/>
              <w:right w:val="single" w:sz="4" w:space="0" w:color="auto"/>
            </w:tcBorders>
            <w:shd w:val="clear" w:color="000000" w:fill="F2F2F2"/>
            <w:noWrap/>
            <w:vAlign w:val="bottom"/>
            <w:hideMark/>
          </w:tcPr>
          <w:p w14:paraId="3D34C726"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815</w:t>
            </w:r>
          </w:p>
        </w:tc>
        <w:tc>
          <w:tcPr>
            <w:tcW w:w="381" w:type="pct"/>
            <w:tcBorders>
              <w:top w:val="nil"/>
              <w:left w:val="nil"/>
              <w:bottom w:val="single" w:sz="4" w:space="0" w:color="auto"/>
              <w:right w:val="single" w:sz="4" w:space="0" w:color="auto"/>
            </w:tcBorders>
            <w:shd w:val="clear" w:color="000000" w:fill="F2F2F2"/>
            <w:noWrap/>
            <w:vAlign w:val="bottom"/>
            <w:hideMark/>
          </w:tcPr>
          <w:p w14:paraId="2CC8C27D"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1057</w:t>
            </w:r>
          </w:p>
        </w:tc>
        <w:tc>
          <w:tcPr>
            <w:tcW w:w="402" w:type="pct"/>
            <w:tcBorders>
              <w:top w:val="nil"/>
              <w:left w:val="nil"/>
              <w:bottom w:val="single" w:sz="4" w:space="0" w:color="auto"/>
              <w:right w:val="single" w:sz="4" w:space="0" w:color="auto"/>
            </w:tcBorders>
            <w:shd w:val="clear" w:color="000000" w:fill="F2F2F2"/>
            <w:noWrap/>
            <w:vAlign w:val="bottom"/>
            <w:hideMark/>
          </w:tcPr>
          <w:p w14:paraId="2CDA0C67"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607</w:t>
            </w:r>
          </w:p>
        </w:tc>
        <w:tc>
          <w:tcPr>
            <w:tcW w:w="393" w:type="pct"/>
            <w:tcBorders>
              <w:top w:val="nil"/>
              <w:left w:val="nil"/>
              <w:bottom w:val="single" w:sz="4" w:space="0" w:color="auto"/>
              <w:right w:val="single" w:sz="4" w:space="0" w:color="auto"/>
            </w:tcBorders>
            <w:shd w:val="clear" w:color="000000" w:fill="F2F2F2"/>
            <w:noWrap/>
            <w:vAlign w:val="bottom"/>
            <w:hideMark/>
          </w:tcPr>
          <w:p w14:paraId="441AA0D6"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822</w:t>
            </w:r>
          </w:p>
        </w:tc>
        <w:tc>
          <w:tcPr>
            <w:tcW w:w="372" w:type="pct"/>
            <w:tcBorders>
              <w:top w:val="nil"/>
              <w:left w:val="nil"/>
              <w:bottom w:val="single" w:sz="4" w:space="0" w:color="auto"/>
              <w:right w:val="single" w:sz="4" w:space="0" w:color="auto"/>
            </w:tcBorders>
            <w:shd w:val="clear" w:color="000000" w:fill="F2F2F2"/>
            <w:noWrap/>
            <w:vAlign w:val="bottom"/>
            <w:hideMark/>
          </w:tcPr>
          <w:p w14:paraId="4C990E47"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845</w:t>
            </w:r>
          </w:p>
        </w:tc>
        <w:tc>
          <w:tcPr>
            <w:tcW w:w="388" w:type="pct"/>
            <w:tcBorders>
              <w:top w:val="nil"/>
              <w:left w:val="nil"/>
              <w:bottom w:val="single" w:sz="4" w:space="0" w:color="auto"/>
              <w:right w:val="single" w:sz="4" w:space="0" w:color="auto"/>
            </w:tcBorders>
            <w:shd w:val="clear" w:color="000000" w:fill="F2F2F2"/>
            <w:noWrap/>
            <w:vAlign w:val="bottom"/>
            <w:hideMark/>
          </w:tcPr>
          <w:p w14:paraId="26C5A026"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870</w:t>
            </w:r>
          </w:p>
        </w:tc>
        <w:tc>
          <w:tcPr>
            <w:tcW w:w="408" w:type="pct"/>
            <w:tcBorders>
              <w:top w:val="nil"/>
              <w:left w:val="nil"/>
              <w:bottom w:val="single" w:sz="4" w:space="0" w:color="auto"/>
              <w:right w:val="single" w:sz="4" w:space="0" w:color="auto"/>
            </w:tcBorders>
            <w:shd w:val="clear" w:color="000000" w:fill="F2F2F2"/>
            <w:noWrap/>
            <w:vAlign w:val="bottom"/>
            <w:hideMark/>
          </w:tcPr>
          <w:p w14:paraId="069D89EE" w14:textId="77777777" w:rsidR="006F3194" w:rsidRPr="006F3194" w:rsidRDefault="006F3194" w:rsidP="006F3194">
            <w:pPr>
              <w:spacing w:after="0"/>
              <w:jc w:val="right"/>
              <w:rPr>
                <w:rFonts w:ascii="Calibri" w:eastAsia="Times New Roman" w:hAnsi="Calibri" w:cs="Calibri"/>
                <w:color w:val="000000"/>
                <w:sz w:val="22"/>
                <w:szCs w:val="22"/>
                <w:lang w:eastAsia="en-GB"/>
              </w:rPr>
            </w:pPr>
            <w:r w:rsidRPr="006F3194">
              <w:rPr>
                <w:rFonts w:ascii="Calibri" w:eastAsia="Times New Roman" w:hAnsi="Calibri" w:cs="Calibri"/>
                <w:color w:val="000000"/>
                <w:sz w:val="22"/>
                <w:szCs w:val="22"/>
                <w:lang w:eastAsia="en-GB"/>
              </w:rPr>
              <w:t>837</w:t>
            </w:r>
          </w:p>
        </w:tc>
      </w:tr>
    </w:tbl>
    <w:p w14:paraId="18C0C1CB" w14:textId="4CD311E8" w:rsidR="006F3194" w:rsidRPr="003D301B" w:rsidRDefault="006F3194" w:rsidP="00D90E98">
      <w:pPr>
        <w:spacing w:after="200" w:line="276" w:lineRule="auto"/>
        <w:rPr>
          <w:rFonts w:cs="Arial"/>
          <w:noProof/>
          <w:sz w:val="22"/>
          <w:szCs w:val="22"/>
          <w:lang w:eastAsia="en-GB"/>
        </w:rPr>
      </w:pPr>
    </w:p>
    <w:p w14:paraId="3C1D965A" w14:textId="7C596673" w:rsidR="00ED361C" w:rsidRDefault="00ED361C" w:rsidP="009E5D8B">
      <w:pPr>
        <w:spacing w:after="200" w:line="276" w:lineRule="auto"/>
        <w:rPr>
          <w:rFonts w:cs="Arial"/>
          <w:noProof/>
          <w:sz w:val="22"/>
          <w:szCs w:val="22"/>
          <w:lang w:eastAsia="en-GB"/>
        </w:rPr>
      </w:pPr>
      <w:r>
        <w:rPr>
          <w:rFonts w:cs="Arial"/>
          <w:noProof/>
          <w:sz w:val="22"/>
          <w:szCs w:val="22"/>
          <w:lang w:eastAsia="en-GB"/>
        </w:rPr>
        <w:t xml:space="preserve">The reported patient experience in A&amp;E for CWFT has exceeded the national average and compares favourably and in line with the NWL satisfaction rate. As a trust, CWFT offers more patients opportunities to provide feedback on their A&amp;E experience through the survey compared to other trusts within the NWL Acute Provider Collaborative (APC), accounting for an average of 46% of all NWL responses since April 2023. </w:t>
      </w:r>
    </w:p>
    <w:p w14:paraId="3742DC97" w14:textId="2E98A5AA" w:rsidR="004117A2" w:rsidRDefault="004117A2" w:rsidP="009E5D8B">
      <w:pPr>
        <w:spacing w:after="200" w:line="276" w:lineRule="auto"/>
        <w:rPr>
          <w:rFonts w:cs="Arial"/>
          <w:noProof/>
          <w:sz w:val="22"/>
          <w:szCs w:val="22"/>
          <w:lang w:eastAsia="en-GB"/>
        </w:rPr>
      </w:pPr>
      <w:r>
        <w:rPr>
          <w:rFonts w:cs="Arial"/>
          <w:noProof/>
          <w:sz w:val="22"/>
          <w:szCs w:val="22"/>
          <w:lang w:eastAsia="en-GB"/>
        </w:rPr>
        <w:lastRenderedPageBreak/>
        <w:t xml:space="preserve">When comparing sites, Chelsea and Westminster Hospital A&amp;E departments had approxiametely 31000 responses across the year with an overall 85% satisfaction rate; however the A&amp;E departments at West Middlesex University Hospital </w:t>
      </w:r>
      <w:r w:rsidR="009D07AC">
        <w:rPr>
          <w:rFonts w:cs="Arial"/>
          <w:noProof/>
          <w:sz w:val="22"/>
          <w:szCs w:val="22"/>
          <w:lang w:eastAsia="en-GB"/>
        </w:rPr>
        <w:t xml:space="preserve">received </w:t>
      </w:r>
      <w:r>
        <w:rPr>
          <w:rFonts w:cs="Arial"/>
          <w:noProof/>
          <w:sz w:val="22"/>
          <w:szCs w:val="22"/>
          <w:lang w:eastAsia="en-GB"/>
        </w:rPr>
        <w:t xml:space="preserve">19000 responses </w:t>
      </w:r>
      <w:r w:rsidR="009D07AC">
        <w:rPr>
          <w:rFonts w:cs="Arial"/>
          <w:noProof/>
          <w:sz w:val="22"/>
          <w:szCs w:val="22"/>
          <w:lang w:eastAsia="en-GB"/>
        </w:rPr>
        <w:t xml:space="preserve">(11k less than CW) </w:t>
      </w:r>
      <w:r>
        <w:rPr>
          <w:rFonts w:cs="Arial"/>
          <w:noProof/>
          <w:sz w:val="22"/>
          <w:szCs w:val="22"/>
          <w:lang w:eastAsia="en-GB"/>
        </w:rPr>
        <w:t>with a 77% overall satisfaction rate</w:t>
      </w:r>
      <w:r w:rsidR="009D07AC">
        <w:rPr>
          <w:rFonts w:cs="Arial"/>
          <w:noProof/>
          <w:sz w:val="22"/>
          <w:szCs w:val="22"/>
          <w:lang w:eastAsia="en-GB"/>
        </w:rPr>
        <w:t xml:space="preserve"> (8% less than CW)</w:t>
      </w:r>
      <w:r>
        <w:rPr>
          <w:rFonts w:cs="Arial"/>
          <w:noProof/>
          <w:sz w:val="22"/>
          <w:szCs w:val="22"/>
          <w:lang w:eastAsia="en-GB"/>
        </w:rPr>
        <w:t>.</w:t>
      </w:r>
    </w:p>
    <w:p w14:paraId="730CC950" w14:textId="320F8BF0" w:rsidR="00ED361C" w:rsidRDefault="00ED361C" w:rsidP="009E5D8B">
      <w:pPr>
        <w:spacing w:after="200" w:line="276" w:lineRule="auto"/>
        <w:rPr>
          <w:rFonts w:cs="Arial"/>
          <w:noProof/>
          <w:sz w:val="22"/>
          <w:szCs w:val="22"/>
          <w:lang w:eastAsia="en-GB"/>
        </w:rPr>
      </w:pPr>
      <w:r>
        <w:rPr>
          <w:rFonts w:cs="Arial"/>
          <w:noProof/>
          <w:sz w:val="22"/>
          <w:szCs w:val="22"/>
          <w:lang w:eastAsia="en-GB"/>
        </w:rPr>
        <w:t xml:space="preserve">Key themes </w:t>
      </w:r>
      <w:r w:rsidR="00A31A13">
        <w:rPr>
          <w:rFonts w:cs="Arial"/>
          <w:noProof/>
          <w:sz w:val="22"/>
          <w:szCs w:val="22"/>
          <w:lang w:eastAsia="en-GB"/>
        </w:rPr>
        <w:t xml:space="preserve">for </w:t>
      </w:r>
      <w:r w:rsidR="008A2C5F">
        <w:rPr>
          <w:rFonts w:cs="Arial"/>
          <w:noProof/>
          <w:sz w:val="22"/>
          <w:szCs w:val="22"/>
          <w:lang w:eastAsia="en-GB"/>
        </w:rPr>
        <w:t>improvements</w:t>
      </w:r>
      <w:r w:rsidR="00A31A13">
        <w:rPr>
          <w:rFonts w:cs="Arial"/>
          <w:noProof/>
          <w:sz w:val="22"/>
          <w:szCs w:val="22"/>
          <w:lang w:eastAsia="en-GB"/>
        </w:rPr>
        <w:t xml:space="preserve"> </w:t>
      </w:r>
      <w:r>
        <w:rPr>
          <w:rFonts w:cs="Arial"/>
          <w:noProof/>
          <w:sz w:val="22"/>
          <w:szCs w:val="22"/>
          <w:lang w:eastAsia="en-GB"/>
        </w:rPr>
        <w:t>from A&amp;E FFT survey mirror those seen in the national surveys and complaints/PALS data – waiting times and environment, communication regardi</w:t>
      </w:r>
      <w:r w:rsidR="00A31A13">
        <w:rPr>
          <w:rFonts w:cs="Arial"/>
          <w:noProof/>
          <w:sz w:val="22"/>
          <w:szCs w:val="22"/>
          <w:lang w:eastAsia="en-GB"/>
        </w:rPr>
        <w:t>ng condition and diagnosis, and general staff interactions</w:t>
      </w:r>
      <w:r w:rsidR="004117A2">
        <w:rPr>
          <w:rFonts w:cs="Arial"/>
          <w:noProof/>
          <w:sz w:val="22"/>
          <w:szCs w:val="22"/>
          <w:lang w:eastAsia="en-GB"/>
        </w:rPr>
        <w:t>; a much larger proportion of the negative feedback relates to the A&amp;E at West Middlesex University Hospital</w:t>
      </w:r>
      <w:r w:rsidR="00A31A13">
        <w:rPr>
          <w:rFonts w:cs="Arial"/>
          <w:noProof/>
          <w:sz w:val="22"/>
          <w:szCs w:val="22"/>
          <w:lang w:eastAsia="en-GB"/>
        </w:rPr>
        <w:t xml:space="preserve">. The number of positive responses regarding compassionate care and basic care provision outweigh the number of negative responses in this regard. </w:t>
      </w:r>
    </w:p>
    <w:p w14:paraId="19783B0D" w14:textId="24F628ED" w:rsidR="008D5474" w:rsidRDefault="008D5474" w:rsidP="009E5D8B">
      <w:pPr>
        <w:spacing w:after="200" w:line="276" w:lineRule="auto"/>
        <w:rPr>
          <w:rFonts w:cs="Arial"/>
          <w:noProof/>
          <w:sz w:val="22"/>
          <w:szCs w:val="22"/>
          <w:lang w:eastAsia="en-GB"/>
        </w:rPr>
      </w:pPr>
      <w:r>
        <w:rPr>
          <w:rFonts w:cs="Arial"/>
          <w:noProof/>
          <w:sz w:val="22"/>
          <w:szCs w:val="22"/>
          <w:lang w:eastAsia="en-GB"/>
        </w:rPr>
        <w:t xml:space="preserve">A&amp;E departments at both sites have used their FFT data, in conjunction with other patient feedback intelligence, to </w:t>
      </w:r>
      <w:r w:rsidR="0055135E">
        <w:rPr>
          <w:rFonts w:cs="Arial"/>
          <w:noProof/>
          <w:sz w:val="22"/>
          <w:szCs w:val="22"/>
          <w:lang w:eastAsia="en-GB"/>
        </w:rPr>
        <w:t>improve the waiting environment which include</w:t>
      </w:r>
      <w:r w:rsidR="009D4985">
        <w:rPr>
          <w:rFonts w:cs="Arial"/>
          <w:noProof/>
          <w:sz w:val="22"/>
          <w:szCs w:val="22"/>
          <w:lang w:eastAsia="en-GB"/>
        </w:rPr>
        <w:t>s</w:t>
      </w:r>
      <w:r w:rsidR="0055135E">
        <w:rPr>
          <w:rFonts w:cs="Arial"/>
          <w:noProof/>
          <w:sz w:val="22"/>
          <w:szCs w:val="22"/>
          <w:lang w:eastAsia="en-GB"/>
        </w:rPr>
        <w:t xml:space="preserve"> regular refreshment rounds, new layout of seating creating more space, electronic waiting boards to keep patients updated of wait times. </w:t>
      </w:r>
      <w:r w:rsidR="00C451A4">
        <w:rPr>
          <w:rFonts w:cs="Arial"/>
          <w:noProof/>
          <w:sz w:val="22"/>
          <w:szCs w:val="22"/>
          <w:lang w:eastAsia="en-GB"/>
        </w:rPr>
        <w:t>The team have also st</w:t>
      </w:r>
      <w:r w:rsidR="0089131D">
        <w:rPr>
          <w:rFonts w:cs="Arial"/>
          <w:noProof/>
          <w:sz w:val="22"/>
          <w:szCs w:val="22"/>
          <w:lang w:eastAsia="en-GB"/>
        </w:rPr>
        <w:t>arted to review patient information available in the department and how they communicate better with patients around their condition, tests and what happens once they leave the department.</w:t>
      </w:r>
    </w:p>
    <w:p w14:paraId="5A896E35" w14:textId="02457CE0" w:rsidR="007B54F6" w:rsidRDefault="007B54F6" w:rsidP="009E5D8B">
      <w:pPr>
        <w:spacing w:after="200" w:line="276" w:lineRule="auto"/>
        <w:rPr>
          <w:rFonts w:cs="Arial"/>
          <w:sz w:val="22"/>
          <w:szCs w:val="22"/>
          <w:u w:val="single"/>
        </w:rPr>
      </w:pPr>
      <w:r>
        <w:rPr>
          <w:rFonts w:cs="Arial"/>
          <w:sz w:val="22"/>
          <w:szCs w:val="22"/>
          <w:u w:val="single"/>
        </w:rPr>
        <w:t xml:space="preserve">Inpatient </w:t>
      </w:r>
    </w:p>
    <w:p w14:paraId="3ED450B4" w14:textId="5E9DE2D7" w:rsidR="007B54F6" w:rsidRPr="007B54F6" w:rsidRDefault="007B54F6" w:rsidP="009E5D8B">
      <w:pPr>
        <w:spacing w:after="200" w:line="276" w:lineRule="auto"/>
        <w:rPr>
          <w:rFonts w:cs="Arial"/>
          <w:sz w:val="22"/>
          <w:szCs w:val="22"/>
        </w:rPr>
      </w:pPr>
      <w:r>
        <w:rPr>
          <w:rFonts w:cs="Arial"/>
          <w:sz w:val="22"/>
          <w:szCs w:val="22"/>
        </w:rPr>
        <w:t>Figure 5: Inpatient FFT satisfaction % comparison CWFT, NWL and National</w:t>
      </w:r>
    </w:p>
    <w:p w14:paraId="00B7BE5C" w14:textId="0DBEF569" w:rsidR="007B54F6" w:rsidRDefault="00CF7170" w:rsidP="009E5D8B">
      <w:pPr>
        <w:spacing w:after="200" w:line="276" w:lineRule="auto"/>
        <w:rPr>
          <w:rFonts w:cs="Arial"/>
          <w:sz w:val="22"/>
          <w:szCs w:val="22"/>
          <w:u w:val="single"/>
        </w:rPr>
      </w:pPr>
      <w:r>
        <w:rPr>
          <w:noProof/>
          <w:lang w:eastAsia="en-GB"/>
        </w:rPr>
        <w:drawing>
          <wp:inline distT="0" distB="0" distL="0" distR="0" wp14:anchorId="311ECC37" wp14:editId="66206E1D">
            <wp:extent cx="6120130" cy="2966720"/>
            <wp:effectExtent l="0" t="0" r="13970" b="508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F5E3803" w14:textId="33B9871E" w:rsidR="007B54F6" w:rsidRDefault="007B54F6" w:rsidP="007B54F6">
      <w:pPr>
        <w:spacing w:after="200" w:line="276" w:lineRule="auto"/>
        <w:rPr>
          <w:rFonts w:cs="Arial"/>
          <w:noProof/>
          <w:sz w:val="22"/>
          <w:szCs w:val="22"/>
          <w:lang w:eastAsia="en-GB"/>
        </w:rPr>
      </w:pPr>
      <w:r>
        <w:rPr>
          <w:rFonts w:cs="Arial"/>
          <w:noProof/>
          <w:sz w:val="22"/>
          <w:szCs w:val="22"/>
          <w:lang w:eastAsia="en-GB"/>
        </w:rPr>
        <w:t>Figure 6: Inpatient FFT total responses comparison CWFT, NWL and National</w:t>
      </w:r>
    </w:p>
    <w:tbl>
      <w:tblPr>
        <w:tblW w:w="5576" w:type="pct"/>
        <w:tblInd w:w="-289" w:type="dxa"/>
        <w:tblLook w:val="04A0" w:firstRow="1" w:lastRow="0" w:firstColumn="1" w:lastColumn="0" w:noHBand="0" w:noVBand="1"/>
      </w:tblPr>
      <w:tblGrid>
        <w:gridCol w:w="738"/>
        <w:gridCol w:w="826"/>
        <w:gridCol w:w="900"/>
        <w:gridCol w:w="808"/>
        <w:gridCol w:w="743"/>
        <w:gridCol w:w="853"/>
        <w:gridCol w:w="833"/>
        <w:gridCol w:w="819"/>
        <w:gridCol w:w="864"/>
        <w:gridCol w:w="845"/>
        <w:gridCol w:w="798"/>
        <w:gridCol w:w="833"/>
        <w:gridCol w:w="877"/>
      </w:tblGrid>
      <w:tr w:rsidR="00CF7170" w:rsidRPr="00CF7170" w14:paraId="5A33EB6E" w14:textId="77777777" w:rsidTr="00C262DB">
        <w:trPr>
          <w:trHeight w:val="292"/>
        </w:trPr>
        <w:tc>
          <w:tcPr>
            <w:tcW w:w="5000" w:type="pct"/>
            <w:gridSpan w:val="13"/>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BE2E339" w14:textId="77777777" w:rsidR="00CF7170" w:rsidRPr="00CF7170" w:rsidRDefault="00CF7170" w:rsidP="00CF7170">
            <w:pPr>
              <w:spacing w:after="0"/>
              <w:jc w:val="center"/>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Inpatient Response Totals</w:t>
            </w:r>
          </w:p>
        </w:tc>
      </w:tr>
      <w:tr w:rsidR="00CF7170" w:rsidRPr="00CF7170" w14:paraId="3AED2D30" w14:textId="77777777" w:rsidTr="00C262DB">
        <w:trPr>
          <w:trHeight w:val="292"/>
        </w:trPr>
        <w:tc>
          <w:tcPr>
            <w:tcW w:w="344" w:type="pct"/>
            <w:tcBorders>
              <w:top w:val="nil"/>
              <w:left w:val="single" w:sz="4" w:space="0" w:color="auto"/>
              <w:bottom w:val="single" w:sz="4" w:space="0" w:color="auto"/>
              <w:right w:val="single" w:sz="4" w:space="0" w:color="auto"/>
            </w:tcBorders>
            <w:shd w:val="clear" w:color="000000" w:fill="92D050"/>
            <w:noWrap/>
            <w:vAlign w:val="bottom"/>
            <w:hideMark/>
          </w:tcPr>
          <w:p w14:paraId="14DBC01E" w14:textId="77777777" w:rsidR="00CF7170" w:rsidRPr="00CF7170" w:rsidRDefault="00CF7170" w:rsidP="00CF7170">
            <w:pPr>
              <w:spacing w:after="0"/>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 </w:t>
            </w:r>
          </w:p>
        </w:tc>
        <w:tc>
          <w:tcPr>
            <w:tcW w:w="385" w:type="pct"/>
            <w:tcBorders>
              <w:top w:val="nil"/>
              <w:left w:val="nil"/>
              <w:bottom w:val="single" w:sz="4" w:space="0" w:color="auto"/>
              <w:right w:val="single" w:sz="4" w:space="0" w:color="auto"/>
            </w:tcBorders>
            <w:shd w:val="clear" w:color="000000" w:fill="92D050"/>
            <w:noWrap/>
            <w:vAlign w:val="bottom"/>
            <w:hideMark/>
          </w:tcPr>
          <w:p w14:paraId="4D65FA9E"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Apr-23</w:t>
            </w:r>
          </w:p>
        </w:tc>
        <w:tc>
          <w:tcPr>
            <w:tcW w:w="419" w:type="pct"/>
            <w:tcBorders>
              <w:top w:val="nil"/>
              <w:left w:val="nil"/>
              <w:bottom w:val="single" w:sz="4" w:space="0" w:color="auto"/>
              <w:right w:val="single" w:sz="4" w:space="0" w:color="auto"/>
            </w:tcBorders>
            <w:shd w:val="clear" w:color="000000" w:fill="92D050"/>
            <w:noWrap/>
            <w:vAlign w:val="bottom"/>
            <w:hideMark/>
          </w:tcPr>
          <w:p w14:paraId="5C4C5052"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May-23</w:t>
            </w:r>
          </w:p>
        </w:tc>
        <w:tc>
          <w:tcPr>
            <w:tcW w:w="376" w:type="pct"/>
            <w:tcBorders>
              <w:top w:val="nil"/>
              <w:left w:val="nil"/>
              <w:bottom w:val="single" w:sz="4" w:space="0" w:color="auto"/>
              <w:right w:val="single" w:sz="4" w:space="0" w:color="auto"/>
            </w:tcBorders>
            <w:shd w:val="clear" w:color="000000" w:fill="92D050"/>
            <w:noWrap/>
            <w:vAlign w:val="bottom"/>
            <w:hideMark/>
          </w:tcPr>
          <w:p w14:paraId="76B23A38"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Jun-23</w:t>
            </w:r>
          </w:p>
        </w:tc>
        <w:tc>
          <w:tcPr>
            <w:tcW w:w="346" w:type="pct"/>
            <w:tcBorders>
              <w:top w:val="nil"/>
              <w:left w:val="nil"/>
              <w:bottom w:val="single" w:sz="4" w:space="0" w:color="auto"/>
              <w:right w:val="single" w:sz="4" w:space="0" w:color="auto"/>
            </w:tcBorders>
            <w:shd w:val="clear" w:color="000000" w:fill="92D050"/>
            <w:noWrap/>
            <w:vAlign w:val="bottom"/>
            <w:hideMark/>
          </w:tcPr>
          <w:p w14:paraId="2E706DC8"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Jul-23</w:t>
            </w:r>
          </w:p>
        </w:tc>
        <w:tc>
          <w:tcPr>
            <w:tcW w:w="397" w:type="pct"/>
            <w:tcBorders>
              <w:top w:val="nil"/>
              <w:left w:val="nil"/>
              <w:bottom w:val="single" w:sz="4" w:space="0" w:color="auto"/>
              <w:right w:val="single" w:sz="4" w:space="0" w:color="auto"/>
            </w:tcBorders>
            <w:shd w:val="clear" w:color="000000" w:fill="92D050"/>
            <w:noWrap/>
            <w:vAlign w:val="bottom"/>
            <w:hideMark/>
          </w:tcPr>
          <w:p w14:paraId="2A3059D0"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Aug-23</w:t>
            </w:r>
          </w:p>
        </w:tc>
        <w:tc>
          <w:tcPr>
            <w:tcW w:w="388" w:type="pct"/>
            <w:tcBorders>
              <w:top w:val="nil"/>
              <w:left w:val="nil"/>
              <w:bottom w:val="single" w:sz="4" w:space="0" w:color="auto"/>
              <w:right w:val="single" w:sz="4" w:space="0" w:color="auto"/>
            </w:tcBorders>
            <w:shd w:val="clear" w:color="000000" w:fill="92D050"/>
            <w:noWrap/>
            <w:vAlign w:val="bottom"/>
            <w:hideMark/>
          </w:tcPr>
          <w:p w14:paraId="1BF25755"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Sep-23</w:t>
            </w:r>
          </w:p>
        </w:tc>
        <w:tc>
          <w:tcPr>
            <w:tcW w:w="381" w:type="pct"/>
            <w:tcBorders>
              <w:top w:val="nil"/>
              <w:left w:val="nil"/>
              <w:bottom w:val="single" w:sz="4" w:space="0" w:color="auto"/>
              <w:right w:val="single" w:sz="4" w:space="0" w:color="auto"/>
            </w:tcBorders>
            <w:shd w:val="clear" w:color="000000" w:fill="92D050"/>
            <w:noWrap/>
            <w:vAlign w:val="bottom"/>
            <w:hideMark/>
          </w:tcPr>
          <w:p w14:paraId="3B0D1865"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Oct-23</w:t>
            </w:r>
          </w:p>
        </w:tc>
        <w:tc>
          <w:tcPr>
            <w:tcW w:w="402" w:type="pct"/>
            <w:tcBorders>
              <w:top w:val="nil"/>
              <w:left w:val="nil"/>
              <w:bottom w:val="single" w:sz="4" w:space="0" w:color="auto"/>
              <w:right w:val="single" w:sz="4" w:space="0" w:color="auto"/>
            </w:tcBorders>
            <w:shd w:val="clear" w:color="000000" w:fill="92D050"/>
            <w:noWrap/>
            <w:vAlign w:val="bottom"/>
            <w:hideMark/>
          </w:tcPr>
          <w:p w14:paraId="006D9D3B"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Nov-23</w:t>
            </w:r>
          </w:p>
        </w:tc>
        <w:tc>
          <w:tcPr>
            <w:tcW w:w="393" w:type="pct"/>
            <w:tcBorders>
              <w:top w:val="nil"/>
              <w:left w:val="nil"/>
              <w:bottom w:val="single" w:sz="4" w:space="0" w:color="auto"/>
              <w:right w:val="single" w:sz="4" w:space="0" w:color="auto"/>
            </w:tcBorders>
            <w:shd w:val="clear" w:color="000000" w:fill="92D050"/>
            <w:noWrap/>
            <w:vAlign w:val="bottom"/>
            <w:hideMark/>
          </w:tcPr>
          <w:p w14:paraId="08359F4D"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Dec-23</w:t>
            </w:r>
          </w:p>
        </w:tc>
        <w:tc>
          <w:tcPr>
            <w:tcW w:w="372" w:type="pct"/>
            <w:tcBorders>
              <w:top w:val="nil"/>
              <w:left w:val="nil"/>
              <w:bottom w:val="single" w:sz="4" w:space="0" w:color="auto"/>
              <w:right w:val="single" w:sz="4" w:space="0" w:color="auto"/>
            </w:tcBorders>
            <w:shd w:val="clear" w:color="000000" w:fill="92D050"/>
            <w:noWrap/>
            <w:vAlign w:val="bottom"/>
            <w:hideMark/>
          </w:tcPr>
          <w:p w14:paraId="0C2D0FAA"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Jan-24</w:t>
            </w:r>
          </w:p>
        </w:tc>
        <w:tc>
          <w:tcPr>
            <w:tcW w:w="388" w:type="pct"/>
            <w:tcBorders>
              <w:top w:val="nil"/>
              <w:left w:val="nil"/>
              <w:bottom w:val="single" w:sz="4" w:space="0" w:color="auto"/>
              <w:right w:val="single" w:sz="4" w:space="0" w:color="auto"/>
            </w:tcBorders>
            <w:shd w:val="clear" w:color="000000" w:fill="92D050"/>
            <w:noWrap/>
            <w:vAlign w:val="bottom"/>
            <w:hideMark/>
          </w:tcPr>
          <w:p w14:paraId="37BE9EB3"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Feb-24</w:t>
            </w:r>
          </w:p>
        </w:tc>
        <w:tc>
          <w:tcPr>
            <w:tcW w:w="408" w:type="pct"/>
            <w:tcBorders>
              <w:top w:val="nil"/>
              <w:left w:val="nil"/>
              <w:bottom w:val="single" w:sz="4" w:space="0" w:color="auto"/>
              <w:right w:val="single" w:sz="4" w:space="0" w:color="auto"/>
            </w:tcBorders>
            <w:shd w:val="clear" w:color="000000" w:fill="92D050"/>
            <w:noWrap/>
            <w:vAlign w:val="bottom"/>
            <w:hideMark/>
          </w:tcPr>
          <w:p w14:paraId="26DB021F"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Mar-24</w:t>
            </w:r>
          </w:p>
        </w:tc>
      </w:tr>
      <w:tr w:rsidR="00CF7170" w:rsidRPr="00CF7170" w14:paraId="267458E7" w14:textId="77777777" w:rsidTr="00C262DB">
        <w:trPr>
          <w:trHeight w:val="292"/>
        </w:trPr>
        <w:tc>
          <w:tcPr>
            <w:tcW w:w="344" w:type="pct"/>
            <w:tcBorders>
              <w:top w:val="nil"/>
              <w:left w:val="single" w:sz="4" w:space="0" w:color="auto"/>
              <w:bottom w:val="single" w:sz="4" w:space="0" w:color="auto"/>
              <w:right w:val="single" w:sz="4" w:space="0" w:color="auto"/>
            </w:tcBorders>
            <w:shd w:val="clear" w:color="000000" w:fill="92D050"/>
            <w:noWrap/>
            <w:vAlign w:val="bottom"/>
            <w:hideMark/>
          </w:tcPr>
          <w:p w14:paraId="37EB60AE" w14:textId="77777777" w:rsidR="00CF7170" w:rsidRPr="00CF7170" w:rsidRDefault="00CF7170" w:rsidP="00CF7170">
            <w:pPr>
              <w:spacing w:after="0"/>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CWFT</w:t>
            </w:r>
          </w:p>
        </w:tc>
        <w:tc>
          <w:tcPr>
            <w:tcW w:w="385" w:type="pct"/>
            <w:tcBorders>
              <w:top w:val="nil"/>
              <w:left w:val="nil"/>
              <w:bottom w:val="single" w:sz="4" w:space="0" w:color="auto"/>
              <w:right w:val="single" w:sz="4" w:space="0" w:color="auto"/>
            </w:tcBorders>
            <w:shd w:val="clear" w:color="000000" w:fill="F2F2F2"/>
            <w:noWrap/>
            <w:vAlign w:val="bottom"/>
            <w:hideMark/>
          </w:tcPr>
          <w:p w14:paraId="5BE8CFAC"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1082</w:t>
            </w:r>
          </w:p>
        </w:tc>
        <w:tc>
          <w:tcPr>
            <w:tcW w:w="419" w:type="pct"/>
            <w:tcBorders>
              <w:top w:val="nil"/>
              <w:left w:val="nil"/>
              <w:bottom w:val="single" w:sz="4" w:space="0" w:color="auto"/>
              <w:right w:val="single" w:sz="4" w:space="0" w:color="auto"/>
            </w:tcBorders>
            <w:shd w:val="clear" w:color="000000" w:fill="F2F2F2"/>
            <w:noWrap/>
            <w:vAlign w:val="bottom"/>
            <w:hideMark/>
          </w:tcPr>
          <w:p w14:paraId="0D73D8DF"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1210</w:t>
            </w:r>
          </w:p>
        </w:tc>
        <w:tc>
          <w:tcPr>
            <w:tcW w:w="376" w:type="pct"/>
            <w:tcBorders>
              <w:top w:val="nil"/>
              <w:left w:val="nil"/>
              <w:bottom w:val="single" w:sz="4" w:space="0" w:color="auto"/>
              <w:right w:val="single" w:sz="4" w:space="0" w:color="auto"/>
            </w:tcBorders>
            <w:shd w:val="clear" w:color="000000" w:fill="F2F2F2"/>
            <w:noWrap/>
            <w:vAlign w:val="bottom"/>
            <w:hideMark/>
          </w:tcPr>
          <w:p w14:paraId="30539F41"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1052</w:t>
            </w:r>
          </w:p>
        </w:tc>
        <w:tc>
          <w:tcPr>
            <w:tcW w:w="346" w:type="pct"/>
            <w:tcBorders>
              <w:top w:val="nil"/>
              <w:left w:val="nil"/>
              <w:bottom w:val="single" w:sz="4" w:space="0" w:color="auto"/>
              <w:right w:val="single" w:sz="4" w:space="0" w:color="auto"/>
            </w:tcBorders>
            <w:shd w:val="clear" w:color="000000" w:fill="F2F2F2"/>
            <w:noWrap/>
            <w:vAlign w:val="bottom"/>
            <w:hideMark/>
          </w:tcPr>
          <w:p w14:paraId="13115BF4"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1083</w:t>
            </w:r>
          </w:p>
        </w:tc>
        <w:tc>
          <w:tcPr>
            <w:tcW w:w="397" w:type="pct"/>
            <w:tcBorders>
              <w:top w:val="nil"/>
              <w:left w:val="nil"/>
              <w:bottom w:val="single" w:sz="4" w:space="0" w:color="auto"/>
              <w:right w:val="single" w:sz="4" w:space="0" w:color="auto"/>
            </w:tcBorders>
            <w:shd w:val="clear" w:color="000000" w:fill="F2F2F2"/>
            <w:noWrap/>
            <w:vAlign w:val="bottom"/>
            <w:hideMark/>
          </w:tcPr>
          <w:p w14:paraId="1C01633A"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1304</w:t>
            </w:r>
          </w:p>
        </w:tc>
        <w:tc>
          <w:tcPr>
            <w:tcW w:w="388" w:type="pct"/>
            <w:tcBorders>
              <w:top w:val="nil"/>
              <w:left w:val="nil"/>
              <w:bottom w:val="single" w:sz="4" w:space="0" w:color="auto"/>
              <w:right w:val="single" w:sz="4" w:space="0" w:color="auto"/>
            </w:tcBorders>
            <w:shd w:val="clear" w:color="000000" w:fill="F2F2F2"/>
            <w:noWrap/>
            <w:vAlign w:val="bottom"/>
            <w:hideMark/>
          </w:tcPr>
          <w:p w14:paraId="7C487BC3"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1135</w:t>
            </w:r>
          </w:p>
        </w:tc>
        <w:tc>
          <w:tcPr>
            <w:tcW w:w="381" w:type="pct"/>
            <w:tcBorders>
              <w:top w:val="nil"/>
              <w:left w:val="nil"/>
              <w:bottom w:val="single" w:sz="4" w:space="0" w:color="auto"/>
              <w:right w:val="single" w:sz="4" w:space="0" w:color="auto"/>
            </w:tcBorders>
            <w:shd w:val="clear" w:color="000000" w:fill="F2F2F2"/>
            <w:noWrap/>
            <w:vAlign w:val="bottom"/>
            <w:hideMark/>
          </w:tcPr>
          <w:p w14:paraId="03C0E3ED"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1035</w:t>
            </w:r>
          </w:p>
        </w:tc>
        <w:tc>
          <w:tcPr>
            <w:tcW w:w="402" w:type="pct"/>
            <w:tcBorders>
              <w:top w:val="nil"/>
              <w:left w:val="nil"/>
              <w:bottom w:val="single" w:sz="4" w:space="0" w:color="auto"/>
              <w:right w:val="single" w:sz="4" w:space="0" w:color="auto"/>
            </w:tcBorders>
            <w:shd w:val="clear" w:color="000000" w:fill="F2F2F2"/>
            <w:noWrap/>
            <w:vAlign w:val="bottom"/>
            <w:hideMark/>
          </w:tcPr>
          <w:p w14:paraId="19F4A6C9"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808</w:t>
            </w:r>
          </w:p>
        </w:tc>
        <w:tc>
          <w:tcPr>
            <w:tcW w:w="393" w:type="pct"/>
            <w:tcBorders>
              <w:top w:val="nil"/>
              <w:left w:val="nil"/>
              <w:bottom w:val="single" w:sz="4" w:space="0" w:color="auto"/>
              <w:right w:val="single" w:sz="4" w:space="0" w:color="auto"/>
            </w:tcBorders>
            <w:shd w:val="clear" w:color="000000" w:fill="F2F2F2"/>
            <w:noWrap/>
            <w:vAlign w:val="bottom"/>
            <w:hideMark/>
          </w:tcPr>
          <w:p w14:paraId="59AF1C86"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709</w:t>
            </w:r>
          </w:p>
        </w:tc>
        <w:tc>
          <w:tcPr>
            <w:tcW w:w="372" w:type="pct"/>
            <w:tcBorders>
              <w:top w:val="nil"/>
              <w:left w:val="nil"/>
              <w:bottom w:val="single" w:sz="4" w:space="0" w:color="auto"/>
              <w:right w:val="single" w:sz="4" w:space="0" w:color="auto"/>
            </w:tcBorders>
            <w:shd w:val="clear" w:color="000000" w:fill="F2F2F2"/>
            <w:noWrap/>
            <w:vAlign w:val="bottom"/>
            <w:hideMark/>
          </w:tcPr>
          <w:p w14:paraId="2DE620AA"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975</w:t>
            </w:r>
          </w:p>
        </w:tc>
        <w:tc>
          <w:tcPr>
            <w:tcW w:w="388" w:type="pct"/>
            <w:tcBorders>
              <w:top w:val="nil"/>
              <w:left w:val="nil"/>
              <w:bottom w:val="single" w:sz="4" w:space="0" w:color="auto"/>
              <w:right w:val="single" w:sz="4" w:space="0" w:color="auto"/>
            </w:tcBorders>
            <w:shd w:val="clear" w:color="000000" w:fill="F2F2F2"/>
            <w:noWrap/>
            <w:vAlign w:val="bottom"/>
            <w:hideMark/>
          </w:tcPr>
          <w:p w14:paraId="707FE762"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853</w:t>
            </w:r>
          </w:p>
        </w:tc>
        <w:tc>
          <w:tcPr>
            <w:tcW w:w="408" w:type="pct"/>
            <w:tcBorders>
              <w:top w:val="nil"/>
              <w:left w:val="nil"/>
              <w:bottom w:val="single" w:sz="4" w:space="0" w:color="auto"/>
              <w:right w:val="single" w:sz="4" w:space="0" w:color="auto"/>
            </w:tcBorders>
            <w:shd w:val="clear" w:color="000000" w:fill="F2F2F2"/>
            <w:noWrap/>
            <w:vAlign w:val="bottom"/>
            <w:hideMark/>
          </w:tcPr>
          <w:p w14:paraId="75DC7B55"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685</w:t>
            </w:r>
          </w:p>
        </w:tc>
      </w:tr>
      <w:tr w:rsidR="00CF7170" w:rsidRPr="00CF7170" w14:paraId="1365A22F" w14:textId="77777777" w:rsidTr="00C262DB">
        <w:trPr>
          <w:trHeight w:val="292"/>
        </w:trPr>
        <w:tc>
          <w:tcPr>
            <w:tcW w:w="344" w:type="pct"/>
            <w:tcBorders>
              <w:top w:val="nil"/>
              <w:left w:val="single" w:sz="4" w:space="0" w:color="auto"/>
              <w:bottom w:val="single" w:sz="4" w:space="0" w:color="auto"/>
              <w:right w:val="single" w:sz="4" w:space="0" w:color="auto"/>
            </w:tcBorders>
            <w:shd w:val="clear" w:color="000000" w:fill="92D050"/>
            <w:noWrap/>
            <w:vAlign w:val="bottom"/>
            <w:hideMark/>
          </w:tcPr>
          <w:p w14:paraId="5883547B" w14:textId="77777777" w:rsidR="00CF7170" w:rsidRPr="00CF7170" w:rsidRDefault="00CF7170" w:rsidP="00CF7170">
            <w:pPr>
              <w:spacing w:after="0"/>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LNW</w:t>
            </w:r>
          </w:p>
        </w:tc>
        <w:tc>
          <w:tcPr>
            <w:tcW w:w="385" w:type="pct"/>
            <w:tcBorders>
              <w:top w:val="nil"/>
              <w:left w:val="nil"/>
              <w:bottom w:val="single" w:sz="4" w:space="0" w:color="auto"/>
              <w:right w:val="single" w:sz="4" w:space="0" w:color="auto"/>
            </w:tcBorders>
            <w:shd w:val="clear" w:color="000000" w:fill="F2F2F2"/>
            <w:noWrap/>
            <w:vAlign w:val="bottom"/>
            <w:hideMark/>
          </w:tcPr>
          <w:p w14:paraId="414CE639"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1501</w:t>
            </w:r>
          </w:p>
        </w:tc>
        <w:tc>
          <w:tcPr>
            <w:tcW w:w="419" w:type="pct"/>
            <w:tcBorders>
              <w:top w:val="nil"/>
              <w:left w:val="nil"/>
              <w:bottom w:val="single" w:sz="4" w:space="0" w:color="auto"/>
              <w:right w:val="single" w:sz="4" w:space="0" w:color="auto"/>
            </w:tcBorders>
            <w:shd w:val="clear" w:color="000000" w:fill="F2F2F2"/>
            <w:noWrap/>
            <w:vAlign w:val="bottom"/>
            <w:hideMark/>
          </w:tcPr>
          <w:p w14:paraId="3E28F5FE"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1933</w:t>
            </w:r>
          </w:p>
        </w:tc>
        <w:tc>
          <w:tcPr>
            <w:tcW w:w="376" w:type="pct"/>
            <w:tcBorders>
              <w:top w:val="nil"/>
              <w:left w:val="nil"/>
              <w:bottom w:val="single" w:sz="4" w:space="0" w:color="auto"/>
              <w:right w:val="single" w:sz="4" w:space="0" w:color="auto"/>
            </w:tcBorders>
            <w:shd w:val="clear" w:color="000000" w:fill="F2F2F2"/>
            <w:noWrap/>
            <w:vAlign w:val="bottom"/>
            <w:hideMark/>
          </w:tcPr>
          <w:p w14:paraId="4471F095"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1686</w:t>
            </w:r>
          </w:p>
        </w:tc>
        <w:tc>
          <w:tcPr>
            <w:tcW w:w="346" w:type="pct"/>
            <w:tcBorders>
              <w:top w:val="nil"/>
              <w:left w:val="nil"/>
              <w:bottom w:val="single" w:sz="4" w:space="0" w:color="auto"/>
              <w:right w:val="single" w:sz="4" w:space="0" w:color="auto"/>
            </w:tcBorders>
            <w:shd w:val="clear" w:color="000000" w:fill="F2F2F2"/>
            <w:noWrap/>
            <w:vAlign w:val="bottom"/>
            <w:hideMark/>
          </w:tcPr>
          <w:p w14:paraId="62275FC4"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2084</w:t>
            </w:r>
          </w:p>
        </w:tc>
        <w:tc>
          <w:tcPr>
            <w:tcW w:w="397" w:type="pct"/>
            <w:tcBorders>
              <w:top w:val="nil"/>
              <w:left w:val="nil"/>
              <w:bottom w:val="single" w:sz="4" w:space="0" w:color="auto"/>
              <w:right w:val="single" w:sz="4" w:space="0" w:color="auto"/>
            </w:tcBorders>
            <w:shd w:val="clear" w:color="000000" w:fill="F2F2F2"/>
            <w:noWrap/>
            <w:vAlign w:val="bottom"/>
            <w:hideMark/>
          </w:tcPr>
          <w:p w14:paraId="1B91C1AA"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1639</w:t>
            </w:r>
          </w:p>
        </w:tc>
        <w:tc>
          <w:tcPr>
            <w:tcW w:w="388" w:type="pct"/>
            <w:tcBorders>
              <w:top w:val="nil"/>
              <w:left w:val="nil"/>
              <w:bottom w:val="single" w:sz="4" w:space="0" w:color="auto"/>
              <w:right w:val="single" w:sz="4" w:space="0" w:color="auto"/>
            </w:tcBorders>
            <w:shd w:val="clear" w:color="000000" w:fill="F2F2F2"/>
            <w:noWrap/>
            <w:vAlign w:val="bottom"/>
            <w:hideMark/>
          </w:tcPr>
          <w:p w14:paraId="41BF59F8"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944</w:t>
            </w:r>
          </w:p>
        </w:tc>
        <w:tc>
          <w:tcPr>
            <w:tcW w:w="381" w:type="pct"/>
            <w:tcBorders>
              <w:top w:val="nil"/>
              <w:left w:val="nil"/>
              <w:bottom w:val="single" w:sz="4" w:space="0" w:color="auto"/>
              <w:right w:val="single" w:sz="4" w:space="0" w:color="auto"/>
            </w:tcBorders>
            <w:shd w:val="clear" w:color="000000" w:fill="F2F2F2"/>
            <w:noWrap/>
            <w:vAlign w:val="bottom"/>
            <w:hideMark/>
          </w:tcPr>
          <w:p w14:paraId="64EB564F"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2806</w:t>
            </w:r>
          </w:p>
        </w:tc>
        <w:tc>
          <w:tcPr>
            <w:tcW w:w="402" w:type="pct"/>
            <w:tcBorders>
              <w:top w:val="nil"/>
              <w:left w:val="nil"/>
              <w:bottom w:val="single" w:sz="4" w:space="0" w:color="auto"/>
              <w:right w:val="single" w:sz="4" w:space="0" w:color="auto"/>
            </w:tcBorders>
            <w:shd w:val="clear" w:color="000000" w:fill="F2F2F2"/>
            <w:noWrap/>
            <w:vAlign w:val="bottom"/>
            <w:hideMark/>
          </w:tcPr>
          <w:p w14:paraId="335AFF06"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2637</w:t>
            </w:r>
          </w:p>
        </w:tc>
        <w:tc>
          <w:tcPr>
            <w:tcW w:w="393" w:type="pct"/>
            <w:tcBorders>
              <w:top w:val="nil"/>
              <w:left w:val="nil"/>
              <w:bottom w:val="single" w:sz="4" w:space="0" w:color="auto"/>
              <w:right w:val="single" w:sz="4" w:space="0" w:color="auto"/>
            </w:tcBorders>
            <w:shd w:val="clear" w:color="000000" w:fill="F2F2F2"/>
            <w:noWrap/>
            <w:vAlign w:val="bottom"/>
            <w:hideMark/>
          </w:tcPr>
          <w:p w14:paraId="44F6595A"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2197</w:t>
            </w:r>
          </w:p>
        </w:tc>
        <w:tc>
          <w:tcPr>
            <w:tcW w:w="372" w:type="pct"/>
            <w:tcBorders>
              <w:top w:val="nil"/>
              <w:left w:val="nil"/>
              <w:bottom w:val="single" w:sz="4" w:space="0" w:color="auto"/>
              <w:right w:val="single" w:sz="4" w:space="0" w:color="auto"/>
            </w:tcBorders>
            <w:shd w:val="clear" w:color="000000" w:fill="F2F2F2"/>
            <w:noWrap/>
            <w:vAlign w:val="bottom"/>
            <w:hideMark/>
          </w:tcPr>
          <w:p w14:paraId="39CEB92C"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3060</w:t>
            </w:r>
          </w:p>
        </w:tc>
        <w:tc>
          <w:tcPr>
            <w:tcW w:w="388" w:type="pct"/>
            <w:tcBorders>
              <w:top w:val="nil"/>
              <w:left w:val="nil"/>
              <w:bottom w:val="single" w:sz="4" w:space="0" w:color="auto"/>
              <w:right w:val="single" w:sz="4" w:space="0" w:color="auto"/>
            </w:tcBorders>
            <w:shd w:val="clear" w:color="000000" w:fill="F2F2F2"/>
            <w:noWrap/>
            <w:vAlign w:val="bottom"/>
            <w:hideMark/>
          </w:tcPr>
          <w:p w14:paraId="4AA2A0E7"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2476</w:t>
            </w:r>
          </w:p>
        </w:tc>
        <w:tc>
          <w:tcPr>
            <w:tcW w:w="408" w:type="pct"/>
            <w:tcBorders>
              <w:top w:val="nil"/>
              <w:left w:val="nil"/>
              <w:bottom w:val="single" w:sz="4" w:space="0" w:color="auto"/>
              <w:right w:val="single" w:sz="4" w:space="0" w:color="auto"/>
            </w:tcBorders>
            <w:shd w:val="clear" w:color="000000" w:fill="F2F2F2"/>
            <w:noWrap/>
            <w:vAlign w:val="bottom"/>
            <w:hideMark/>
          </w:tcPr>
          <w:p w14:paraId="5C03A88A"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3157</w:t>
            </w:r>
          </w:p>
        </w:tc>
      </w:tr>
      <w:tr w:rsidR="00CF7170" w:rsidRPr="00CF7170" w14:paraId="34E38FE4" w14:textId="77777777" w:rsidTr="00C262DB">
        <w:trPr>
          <w:trHeight w:val="292"/>
        </w:trPr>
        <w:tc>
          <w:tcPr>
            <w:tcW w:w="344" w:type="pct"/>
            <w:tcBorders>
              <w:top w:val="nil"/>
              <w:left w:val="single" w:sz="4" w:space="0" w:color="auto"/>
              <w:bottom w:val="single" w:sz="4" w:space="0" w:color="auto"/>
              <w:right w:val="single" w:sz="4" w:space="0" w:color="auto"/>
            </w:tcBorders>
            <w:shd w:val="clear" w:color="000000" w:fill="92D050"/>
            <w:noWrap/>
            <w:vAlign w:val="bottom"/>
            <w:hideMark/>
          </w:tcPr>
          <w:p w14:paraId="3D0B95B4" w14:textId="77777777" w:rsidR="00CF7170" w:rsidRPr="00CF7170" w:rsidRDefault="00CF7170" w:rsidP="00CF7170">
            <w:pPr>
              <w:spacing w:after="0"/>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ICH</w:t>
            </w:r>
          </w:p>
        </w:tc>
        <w:tc>
          <w:tcPr>
            <w:tcW w:w="385" w:type="pct"/>
            <w:tcBorders>
              <w:top w:val="nil"/>
              <w:left w:val="nil"/>
              <w:bottom w:val="single" w:sz="4" w:space="0" w:color="auto"/>
              <w:right w:val="single" w:sz="4" w:space="0" w:color="auto"/>
            </w:tcBorders>
            <w:shd w:val="clear" w:color="000000" w:fill="F2F2F2"/>
            <w:noWrap/>
            <w:vAlign w:val="bottom"/>
            <w:hideMark/>
          </w:tcPr>
          <w:p w14:paraId="007AEFD0"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2126</w:t>
            </w:r>
          </w:p>
        </w:tc>
        <w:tc>
          <w:tcPr>
            <w:tcW w:w="419" w:type="pct"/>
            <w:tcBorders>
              <w:top w:val="nil"/>
              <w:left w:val="nil"/>
              <w:bottom w:val="single" w:sz="4" w:space="0" w:color="auto"/>
              <w:right w:val="single" w:sz="4" w:space="0" w:color="auto"/>
            </w:tcBorders>
            <w:shd w:val="clear" w:color="000000" w:fill="F2F2F2"/>
            <w:noWrap/>
            <w:vAlign w:val="bottom"/>
            <w:hideMark/>
          </w:tcPr>
          <w:p w14:paraId="074EB4BD"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2477</w:t>
            </w:r>
          </w:p>
        </w:tc>
        <w:tc>
          <w:tcPr>
            <w:tcW w:w="376" w:type="pct"/>
            <w:tcBorders>
              <w:top w:val="nil"/>
              <w:left w:val="nil"/>
              <w:bottom w:val="single" w:sz="4" w:space="0" w:color="auto"/>
              <w:right w:val="single" w:sz="4" w:space="0" w:color="auto"/>
            </w:tcBorders>
            <w:shd w:val="clear" w:color="000000" w:fill="F2F2F2"/>
            <w:noWrap/>
            <w:vAlign w:val="bottom"/>
            <w:hideMark/>
          </w:tcPr>
          <w:p w14:paraId="717876A6"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2194</w:t>
            </w:r>
          </w:p>
        </w:tc>
        <w:tc>
          <w:tcPr>
            <w:tcW w:w="346" w:type="pct"/>
            <w:tcBorders>
              <w:top w:val="nil"/>
              <w:left w:val="nil"/>
              <w:bottom w:val="single" w:sz="4" w:space="0" w:color="auto"/>
              <w:right w:val="single" w:sz="4" w:space="0" w:color="auto"/>
            </w:tcBorders>
            <w:shd w:val="clear" w:color="000000" w:fill="F2F2F2"/>
            <w:noWrap/>
            <w:vAlign w:val="bottom"/>
            <w:hideMark/>
          </w:tcPr>
          <w:p w14:paraId="356CA84B"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2402</w:t>
            </w:r>
          </w:p>
        </w:tc>
        <w:tc>
          <w:tcPr>
            <w:tcW w:w="397" w:type="pct"/>
            <w:tcBorders>
              <w:top w:val="nil"/>
              <w:left w:val="nil"/>
              <w:bottom w:val="single" w:sz="4" w:space="0" w:color="auto"/>
              <w:right w:val="single" w:sz="4" w:space="0" w:color="auto"/>
            </w:tcBorders>
            <w:shd w:val="clear" w:color="000000" w:fill="F2F2F2"/>
            <w:noWrap/>
            <w:vAlign w:val="bottom"/>
            <w:hideMark/>
          </w:tcPr>
          <w:p w14:paraId="2481095C"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2592</w:t>
            </w:r>
          </w:p>
        </w:tc>
        <w:tc>
          <w:tcPr>
            <w:tcW w:w="388" w:type="pct"/>
            <w:tcBorders>
              <w:top w:val="nil"/>
              <w:left w:val="nil"/>
              <w:bottom w:val="single" w:sz="4" w:space="0" w:color="auto"/>
              <w:right w:val="single" w:sz="4" w:space="0" w:color="auto"/>
            </w:tcBorders>
            <w:shd w:val="clear" w:color="000000" w:fill="F2F2F2"/>
            <w:noWrap/>
            <w:vAlign w:val="bottom"/>
            <w:hideMark/>
          </w:tcPr>
          <w:p w14:paraId="0550C62C"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2504</w:t>
            </w:r>
          </w:p>
        </w:tc>
        <w:tc>
          <w:tcPr>
            <w:tcW w:w="381" w:type="pct"/>
            <w:tcBorders>
              <w:top w:val="nil"/>
              <w:left w:val="nil"/>
              <w:bottom w:val="single" w:sz="4" w:space="0" w:color="auto"/>
              <w:right w:val="single" w:sz="4" w:space="0" w:color="auto"/>
            </w:tcBorders>
            <w:shd w:val="clear" w:color="000000" w:fill="F2F2F2"/>
            <w:noWrap/>
            <w:vAlign w:val="bottom"/>
            <w:hideMark/>
          </w:tcPr>
          <w:p w14:paraId="06CF3EDC"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2544</w:t>
            </w:r>
          </w:p>
        </w:tc>
        <w:tc>
          <w:tcPr>
            <w:tcW w:w="402" w:type="pct"/>
            <w:tcBorders>
              <w:top w:val="nil"/>
              <w:left w:val="nil"/>
              <w:bottom w:val="single" w:sz="4" w:space="0" w:color="auto"/>
              <w:right w:val="single" w:sz="4" w:space="0" w:color="auto"/>
            </w:tcBorders>
            <w:shd w:val="clear" w:color="000000" w:fill="F2F2F2"/>
            <w:noWrap/>
            <w:vAlign w:val="bottom"/>
            <w:hideMark/>
          </w:tcPr>
          <w:p w14:paraId="57AB2C3A"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2614</w:t>
            </w:r>
          </w:p>
        </w:tc>
        <w:tc>
          <w:tcPr>
            <w:tcW w:w="393" w:type="pct"/>
            <w:tcBorders>
              <w:top w:val="nil"/>
              <w:left w:val="nil"/>
              <w:bottom w:val="single" w:sz="4" w:space="0" w:color="auto"/>
              <w:right w:val="single" w:sz="4" w:space="0" w:color="auto"/>
            </w:tcBorders>
            <w:shd w:val="clear" w:color="000000" w:fill="F2F2F2"/>
            <w:noWrap/>
            <w:vAlign w:val="bottom"/>
            <w:hideMark/>
          </w:tcPr>
          <w:p w14:paraId="5CCC90A6"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2004</w:t>
            </w:r>
          </w:p>
        </w:tc>
        <w:tc>
          <w:tcPr>
            <w:tcW w:w="372" w:type="pct"/>
            <w:tcBorders>
              <w:top w:val="nil"/>
              <w:left w:val="nil"/>
              <w:bottom w:val="single" w:sz="4" w:space="0" w:color="auto"/>
              <w:right w:val="single" w:sz="4" w:space="0" w:color="auto"/>
            </w:tcBorders>
            <w:shd w:val="clear" w:color="000000" w:fill="F2F2F2"/>
            <w:noWrap/>
            <w:vAlign w:val="bottom"/>
            <w:hideMark/>
          </w:tcPr>
          <w:p w14:paraId="2ED61981"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2746</w:t>
            </w:r>
          </w:p>
        </w:tc>
        <w:tc>
          <w:tcPr>
            <w:tcW w:w="388" w:type="pct"/>
            <w:tcBorders>
              <w:top w:val="nil"/>
              <w:left w:val="nil"/>
              <w:bottom w:val="single" w:sz="4" w:space="0" w:color="auto"/>
              <w:right w:val="single" w:sz="4" w:space="0" w:color="auto"/>
            </w:tcBorders>
            <w:shd w:val="clear" w:color="000000" w:fill="F2F2F2"/>
            <w:noWrap/>
            <w:vAlign w:val="bottom"/>
            <w:hideMark/>
          </w:tcPr>
          <w:p w14:paraId="669D4499"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2856</w:t>
            </w:r>
          </w:p>
        </w:tc>
        <w:tc>
          <w:tcPr>
            <w:tcW w:w="408" w:type="pct"/>
            <w:tcBorders>
              <w:top w:val="nil"/>
              <w:left w:val="nil"/>
              <w:bottom w:val="single" w:sz="4" w:space="0" w:color="auto"/>
              <w:right w:val="single" w:sz="4" w:space="0" w:color="auto"/>
            </w:tcBorders>
            <w:shd w:val="clear" w:color="000000" w:fill="F2F2F2"/>
            <w:noWrap/>
            <w:vAlign w:val="bottom"/>
            <w:hideMark/>
          </w:tcPr>
          <w:p w14:paraId="3A5DA083"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2793</w:t>
            </w:r>
          </w:p>
        </w:tc>
      </w:tr>
      <w:tr w:rsidR="00CF7170" w:rsidRPr="00CF7170" w14:paraId="221F64A9" w14:textId="77777777" w:rsidTr="00C262DB">
        <w:trPr>
          <w:trHeight w:val="292"/>
        </w:trPr>
        <w:tc>
          <w:tcPr>
            <w:tcW w:w="344" w:type="pct"/>
            <w:tcBorders>
              <w:top w:val="nil"/>
              <w:left w:val="single" w:sz="4" w:space="0" w:color="auto"/>
              <w:bottom w:val="single" w:sz="4" w:space="0" w:color="auto"/>
              <w:right w:val="single" w:sz="4" w:space="0" w:color="auto"/>
            </w:tcBorders>
            <w:shd w:val="clear" w:color="000000" w:fill="92D050"/>
            <w:noWrap/>
            <w:vAlign w:val="bottom"/>
            <w:hideMark/>
          </w:tcPr>
          <w:p w14:paraId="1913F08D" w14:textId="77777777" w:rsidR="00CF7170" w:rsidRPr="00CF7170" w:rsidRDefault="00CF7170" w:rsidP="00CF7170">
            <w:pPr>
              <w:spacing w:after="0"/>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THH</w:t>
            </w:r>
          </w:p>
        </w:tc>
        <w:tc>
          <w:tcPr>
            <w:tcW w:w="385" w:type="pct"/>
            <w:tcBorders>
              <w:top w:val="nil"/>
              <w:left w:val="nil"/>
              <w:bottom w:val="single" w:sz="4" w:space="0" w:color="auto"/>
              <w:right w:val="single" w:sz="4" w:space="0" w:color="auto"/>
            </w:tcBorders>
            <w:shd w:val="clear" w:color="000000" w:fill="F2F2F2"/>
            <w:noWrap/>
            <w:vAlign w:val="bottom"/>
            <w:hideMark/>
          </w:tcPr>
          <w:p w14:paraId="2D001915"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1209</w:t>
            </w:r>
          </w:p>
        </w:tc>
        <w:tc>
          <w:tcPr>
            <w:tcW w:w="419" w:type="pct"/>
            <w:tcBorders>
              <w:top w:val="nil"/>
              <w:left w:val="nil"/>
              <w:bottom w:val="single" w:sz="4" w:space="0" w:color="auto"/>
              <w:right w:val="single" w:sz="4" w:space="0" w:color="auto"/>
            </w:tcBorders>
            <w:shd w:val="clear" w:color="000000" w:fill="F2F2F2"/>
            <w:noWrap/>
            <w:vAlign w:val="bottom"/>
            <w:hideMark/>
          </w:tcPr>
          <w:p w14:paraId="77CEF585"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1486</w:t>
            </w:r>
          </w:p>
        </w:tc>
        <w:tc>
          <w:tcPr>
            <w:tcW w:w="376" w:type="pct"/>
            <w:tcBorders>
              <w:top w:val="nil"/>
              <w:left w:val="nil"/>
              <w:bottom w:val="single" w:sz="4" w:space="0" w:color="auto"/>
              <w:right w:val="single" w:sz="4" w:space="0" w:color="auto"/>
            </w:tcBorders>
            <w:shd w:val="clear" w:color="000000" w:fill="F2F2F2"/>
            <w:noWrap/>
            <w:vAlign w:val="bottom"/>
            <w:hideMark/>
          </w:tcPr>
          <w:p w14:paraId="59ADE6AD"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1579</w:t>
            </w:r>
          </w:p>
        </w:tc>
        <w:tc>
          <w:tcPr>
            <w:tcW w:w="346" w:type="pct"/>
            <w:tcBorders>
              <w:top w:val="nil"/>
              <w:left w:val="nil"/>
              <w:bottom w:val="single" w:sz="4" w:space="0" w:color="auto"/>
              <w:right w:val="single" w:sz="4" w:space="0" w:color="auto"/>
            </w:tcBorders>
            <w:shd w:val="clear" w:color="000000" w:fill="F2F2F2"/>
            <w:noWrap/>
            <w:vAlign w:val="bottom"/>
            <w:hideMark/>
          </w:tcPr>
          <w:p w14:paraId="7F776252"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1320</w:t>
            </w:r>
          </w:p>
        </w:tc>
        <w:tc>
          <w:tcPr>
            <w:tcW w:w="397" w:type="pct"/>
            <w:tcBorders>
              <w:top w:val="nil"/>
              <w:left w:val="nil"/>
              <w:bottom w:val="single" w:sz="4" w:space="0" w:color="auto"/>
              <w:right w:val="single" w:sz="4" w:space="0" w:color="auto"/>
            </w:tcBorders>
            <w:shd w:val="clear" w:color="000000" w:fill="F2F2F2"/>
            <w:noWrap/>
            <w:vAlign w:val="bottom"/>
            <w:hideMark/>
          </w:tcPr>
          <w:p w14:paraId="2203DE13"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1395</w:t>
            </w:r>
          </w:p>
        </w:tc>
        <w:tc>
          <w:tcPr>
            <w:tcW w:w="388" w:type="pct"/>
            <w:tcBorders>
              <w:top w:val="nil"/>
              <w:left w:val="nil"/>
              <w:bottom w:val="single" w:sz="4" w:space="0" w:color="auto"/>
              <w:right w:val="single" w:sz="4" w:space="0" w:color="auto"/>
            </w:tcBorders>
            <w:shd w:val="clear" w:color="000000" w:fill="F2F2F2"/>
            <w:noWrap/>
            <w:vAlign w:val="bottom"/>
            <w:hideMark/>
          </w:tcPr>
          <w:p w14:paraId="096B432A"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1181</w:t>
            </w:r>
          </w:p>
        </w:tc>
        <w:tc>
          <w:tcPr>
            <w:tcW w:w="381" w:type="pct"/>
            <w:tcBorders>
              <w:top w:val="nil"/>
              <w:left w:val="nil"/>
              <w:bottom w:val="single" w:sz="4" w:space="0" w:color="auto"/>
              <w:right w:val="single" w:sz="4" w:space="0" w:color="auto"/>
            </w:tcBorders>
            <w:shd w:val="clear" w:color="000000" w:fill="F2F2F2"/>
            <w:noWrap/>
            <w:vAlign w:val="bottom"/>
            <w:hideMark/>
          </w:tcPr>
          <w:p w14:paraId="72FC67F0"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807</w:t>
            </w:r>
          </w:p>
        </w:tc>
        <w:tc>
          <w:tcPr>
            <w:tcW w:w="402" w:type="pct"/>
            <w:tcBorders>
              <w:top w:val="nil"/>
              <w:left w:val="nil"/>
              <w:bottom w:val="single" w:sz="4" w:space="0" w:color="auto"/>
              <w:right w:val="single" w:sz="4" w:space="0" w:color="auto"/>
            </w:tcBorders>
            <w:shd w:val="clear" w:color="000000" w:fill="F2F2F2"/>
            <w:noWrap/>
            <w:vAlign w:val="bottom"/>
            <w:hideMark/>
          </w:tcPr>
          <w:p w14:paraId="582C5F8B"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495</w:t>
            </w:r>
          </w:p>
        </w:tc>
        <w:tc>
          <w:tcPr>
            <w:tcW w:w="393" w:type="pct"/>
            <w:tcBorders>
              <w:top w:val="nil"/>
              <w:left w:val="nil"/>
              <w:bottom w:val="single" w:sz="4" w:space="0" w:color="auto"/>
              <w:right w:val="single" w:sz="4" w:space="0" w:color="auto"/>
            </w:tcBorders>
            <w:shd w:val="clear" w:color="000000" w:fill="F2F2F2"/>
            <w:noWrap/>
            <w:vAlign w:val="bottom"/>
            <w:hideMark/>
          </w:tcPr>
          <w:p w14:paraId="395A2CFD"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1103</w:t>
            </w:r>
          </w:p>
        </w:tc>
        <w:tc>
          <w:tcPr>
            <w:tcW w:w="372" w:type="pct"/>
            <w:tcBorders>
              <w:top w:val="nil"/>
              <w:left w:val="nil"/>
              <w:bottom w:val="single" w:sz="4" w:space="0" w:color="auto"/>
              <w:right w:val="single" w:sz="4" w:space="0" w:color="auto"/>
            </w:tcBorders>
            <w:shd w:val="clear" w:color="000000" w:fill="F2F2F2"/>
            <w:noWrap/>
            <w:vAlign w:val="bottom"/>
            <w:hideMark/>
          </w:tcPr>
          <w:p w14:paraId="537CC96A"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871</w:t>
            </w:r>
          </w:p>
        </w:tc>
        <w:tc>
          <w:tcPr>
            <w:tcW w:w="388" w:type="pct"/>
            <w:tcBorders>
              <w:top w:val="nil"/>
              <w:left w:val="nil"/>
              <w:bottom w:val="single" w:sz="4" w:space="0" w:color="auto"/>
              <w:right w:val="single" w:sz="4" w:space="0" w:color="auto"/>
            </w:tcBorders>
            <w:shd w:val="clear" w:color="000000" w:fill="F2F2F2"/>
            <w:noWrap/>
            <w:vAlign w:val="bottom"/>
            <w:hideMark/>
          </w:tcPr>
          <w:p w14:paraId="7547C9BC"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1571</w:t>
            </w:r>
          </w:p>
        </w:tc>
        <w:tc>
          <w:tcPr>
            <w:tcW w:w="408" w:type="pct"/>
            <w:tcBorders>
              <w:top w:val="nil"/>
              <w:left w:val="nil"/>
              <w:bottom w:val="single" w:sz="4" w:space="0" w:color="auto"/>
              <w:right w:val="single" w:sz="4" w:space="0" w:color="auto"/>
            </w:tcBorders>
            <w:shd w:val="clear" w:color="000000" w:fill="F2F2F2"/>
            <w:noWrap/>
            <w:vAlign w:val="bottom"/>
            <w:hideMark/>
          </w:tcPr>
          <w:p w14:paraId="5E133685" w14:textId="77777777" w:rsidR="00CF7170" w:rsidRPr="00CF7170" w:rsidRDefault="00CF7170" w:rsidP="00CF7170">
            <w:pPr>
              <w:spacing w:after="0"/>
              <w:jc w:val="right"/>
              <w:rPr>
                <w:rFonts w:ascii="Calibri" w:eastAsia="Times New Roman" w:hAnsi="Calibri" w:cs="Calibri"/>
                <w:color w:val="000000"/>
                <w:sz w:val="22"/>
                <w:szCs w:val="22"/>
                <w:lang w:eastAsia="en-GB"/>
              </w:rPr>
            </w:pPr>
            <w:r w:rsidRPr="00CF7170">
              <w:rPr>
                <w:rFonts w:ascii="Calibri" w:eastAsia="Times New Roman" w:hAnsi="Calibri" w:cs="Calibri"/>
                <w:color w:val="000000"/>
                <w:sz w:val="22"/>
                <w:szCs w:val="22"/>
                <w:lang w:eastAsia="en-GB"/>
              </w:rPr>
              <w:t>1492</w:t>
            </w:r>
          </w:p>
        </w:tc>
      </w:tr>
    </w:tbl>
    <w:p w14:paraId="029F35A8" w14:textId="77777777" w:rsidR="00CF7170" w:rsidRDefault="00CF7170" w:rsidP="004540A7">
      <w:pPr>
        <w:spacing w:after="200" w:line="276" w:lineRule="auto"/>
        <w:jc w:val="both"/>
        <w:rPr>
          <w:rFonts w:cs="Arial"/>
          <w:sz w:val="22"/>
          <w:szCs w:val="22"/>
        </w:rPr>
      </w:pPr>
    </w:p>
    <w:p w14:paraId="55B0E6C1" w14:textId="601C8E55" w:rsidR="007B54F6" w:rsidRDefault="007B54F6" w:rsidP="004540A7">
      <w:pPr>
        <w:spacing w:after="200" w:line="276" w:lineRule="auto"/>
        <w:jc w:val="both"/>
        <w:rPr>
          <w:rFonts w:cs="Arial"/>
          <w:sz w:val="22"/>
          <w:szCs w:val="22"/>
        </w:rPr>
      </w:pPr>
      <w:r>
        <w:rPr>
          <w:rFonts w:cs="Arial"/>
          <w:sz w:val="22"/>
          <w:szCs w:val="22"/>
        </w:rPr>
        <w:lastRenderedPageBreak/>
        <w:t>The reported experience of our admitted patients is consistently higher than the national average and in line with other trusts across the NWL ACP according to the FFT. However, a big risk is associated with the inpatient FFT survey results is that CWFT make up on average 15% of the total response numbers across NWL and does not give a true and accurate reflection of the care being provided to our patients, as seen in the more detailed national CQC inpatient survey results.</w:t>
      </w:r>
      <w:r w:rsidR="000646F0">
        <w:rPr>
          <w:rFonts w:cs="Arial"/>
          <w:sz w:val="22"/>
          <w:szCs w:val="22"/>
        </w:rPr>
        <w:t xml:space="preserve"> Also, whilst there are marginal differences in overall reported satisfaction scores between the sites; Chelsea and Westminster Hospital 94% compared to West Middlesex University Hospital 96%, the latter has received approximately 2000 more responses over the year. </w:t>
      </w:r>
    </w:p>
    <w:p w14:paraId="4280EEEF" w14:textId="1171C0DC" w:rsidR="00D84954" w:rsidRDefault="007B54F6" w:rsidP="004540A7">
      <w:pPr>
        <w:spacing w:after="200" w:line="276" w:lineRule="auto"/>
        <w:jc w:val="both"/>
        <w:rPr>
          <w:rFonts w:cs="Arial"/>
          <w:sz w:val="22"/>
          <w:szCs w:val="22"/>
        </w:rPr>
      </w:pPr>
      <w:r>
        <w:rPr>
          <w:rFonts w:cs="Arial"/>
          <w:b/>
          <w:sz w:val="22"/>
          <w:szCs w:val="22"/>
        </w:rPr>
        <w:t xml:space="preserve">Action: </w:t>
      </w:r>
      <w:r>
        <w:rPr>
          <w:rFonts w:cs="Arial"/>
          <w:sz w:val="22"/>
          <w:szCs w:val="22"/>
        </w:rPr>
        <w:t xml:space="preserve">There needs to be a concerted effort to improve responses to the </w:t>
      </w:r>
      <w:r w:rsidR="00D84954">
        <w:rPr>
          <w:rFonts w:cs="Arial"/>
          <w:sz w:val="22"/>
          <w:szCs w:val="22"/>
        </w:rPr>
        <w:t xml:space="preserve">inpatient </w:t>
      </w:r>
      <w:r>
        <w:rPr>
          <w:rFonts w:cs="Arial"/>
          <w:sz w:val="22"/>
          <w:szCs w:val="22"/>
        </w:rPr>
        <w:t>FFT survey</w:t>
      </w:r>
      <w:r w:rsidR="000646F0">
        <w:rPr>
          <w:rFonts w:cs="Arial"/>
          <w:sz w:val="22"/>
          <w:szCs w:val="22"/>
        </w:rPr>
        <w:t xml:space="preserve"> specifically at the Chelsea and Westminster Hospital site</w:t>
      </w:r>
      <w:r w:rsidR="00D84954">
        <w:rPr>
          <w:rFonts w:cs="Arial"/>
          <w:sz w:val="22"/>
          <w:szCs w:val="22"/>
        </w:rPr>
        <w:t>, which in turn will enable a</w:t>
      </w:r>
      <w:r>
        <w:rPr>
          <w:rFonts w:cs="Arial"/>
          <w:sz w:val="22"/>
          <w:szCs w:val="22"/>
        </w:rPr>
        <w:t xml:space="preserve"> more representative view of inpatient experience.</w:t>
      </w:r>
      <w:r w:rsidR="00D84954">
        <w:rPr>
          <w:rFonts w:cs="Arial"/>
          <w:sz w:val="22"/>
          <w:szCs w:val="22"/>
        </w:rPr>
        <w:t xml:space="preserve"> There are plans to include additional supplementary questions to the standard FFT form for inpatient areas, to hopefully elicit richer feedback and allow for ongoing assurance. </w:t>
      </w:r>
    </w:p>
    <w:p w14:paraId="0E04C624" w14:textId="22BB54BC" w:rsidR="008A2C5F" w:rsidRDefault="008A2C5F" w:rsidP="004540A7">
      <w:pPr>
        <w:spacing w:after="200" w:line="276" w:lineRule="auto"/>
        <w:jc w:val="both"/>
        <w:rPr>
          <w:rFonts w:cs="Arial"/>
          <w:sz w:val="22"/>
          <w:szCs w:val="22"/>
        </w:rPr>
      </w:pPr>
      <w:r>
        <w:rPr>
          <w:rFonts w:cs="Arial"/>
          <w:noProof/>
          <w:sz w:val="22"/>
          <w:szCs w:val="22"/>
          <w:lang w:eastAsia="en-GB"/>
        </w:rPr>
        <w:t>The total number of responses linking with positive themes of the survey outweight the same themes in a</w:t>
      </w:r>
      <w:r w:rsidR="008151D1">
        <w:rPr>
          <w:rFonts w:cs="Arial"/>
          <w:noProof/>
          <w:sz w:val="22"/>
          <w:szCs w:val="22"/>
          <w:lang w:eastAsia="en-GB"/>
        </w:rPr>
        <w:t xml:space="preserve"> negative way. </w:t>
      </w:r>
    </w:p>
    <w:p w14:paraId="2982652E" w14:textId="579FA03A" w:rsidR="00CA5A3B" w:rsidRDefault="004726AF">
      <w:pPr>
        <w:spacing w:after="200" w:line="276" w:lineRule="auto"/>
        <w:rPr>
          <w:rFonts w:cs="Arial"/>
          <w:sz w:val="22"/>
          <w:szCs w:val="22"/>
          <w:u w:val="single"/>
        </w:rPr>
      </w:pPr>
      <w:r>
        <w:rPr>
          <w:rFonts w:cs="Arial"/>
          <w:sz w:val="22"/>
          <w:szCs w:val="22"/>
        </w:rPr>
        <w:t xml:space="preserve">The Trust adopted the Magnet Shared Decision making model in late 2022, and the FFT data has been pivotal in identifying key areas of improvements for wards and support initiatives taken through this model. </w:t>
      </w:r>
      <w:r w:rsidR="004514BC">
        <w:rPr>
          <w:rFonts w:cs="Arial"/>
          <w:sz w:val="22"/>
          <w:szCs w:val="22"/>
        </w:rPr>
        <w:t>Examples of initiatives include noise cancelling speakers to improve the night</w:t>
      </w:r>
      <w:r w:rsidR="009346B6">
        <w:rPr>
          <w:rFonts w:cs="Arial"/>
          <w:sz w:val="22"/>
          <w:szCs w:val="22"/>
        </w:rPr>
        <w:t xml:space="preserve"> environment, improved access to entertainment or projects focused on </w:t>
      </w:r>
      <w:r w:rsidR="00250EBE">
        <w:rPr>
          <w:rFonts w:cs="Arial"/>
          <w:sz w:val="22"/>
          <w:szCs w:val="22"/>
        </w:rPr>
        <w:t>reducing</w:t>
      </w:r>
      <w:r w:rsidR="009346B6">
        <w:rPr>
          <w:rFonts w:cs="Arial"/>
          <w:sz w:val="22"/>
          <w:szCs w:val="22"/>
        </w:rPr>
        <w:t xml:space="preserve"> deconditioning. </w:t>
      </w:r>
    </w:p>
    <w:p w14:paraId="7EBEE020" w14:textId="7CA9BED5" w:rsidR="00D90E98" w:rsidRDefault="0037606B" w:rsidP="009E5D8B">
      <w:pPr>
        <w:spacing w:after="200" w:line="276" w:lineRule="auto"/>
        <w:rPr>
          <w:rFonts w:cs="Arial"/>
          <w:sz w:val="22"/>
          <w:szCs w:val="22"/>
          <w:u w:val="single"/>
        </w:rPr>
      </w:pPr>
      <w:r w:rsidRPr="00386EA6">
        <w:rPr>
          <w:rFonts w:cs="Arial"/>
          <w:sz w:val="22"/>
          <w:szCs w:val="22"/>
          <w:u w:val="single"/>
        </w:rPr>
        <w:t>Maternity</w:t>
      </w:r>
      <w:r w:rsidR="00AB6AE4">
        <w:rPr>
          <w:rFonts w:cs="Arial"/>
          <w:sz w:val="22"/>
          <w:szCs w:val="22"/>
          <w:u w:val="single"/>
        </w:rPr>
        <w:t xml:space="preserve"> (</w:t>
      </w:r>
      <w:r w:rsidR="00CA5A3B">
        <w:rPr>
          <w:rFonts w:cs="Arial"/>
          <w:sz w:val="22"/>
          <w:szCs w:val="22"/>
          <w:u w:val="single"/>
        </w:rPr>
        <w:t>antenatal</w:t>
      </w:r>
      <w:r w:rsidR="00AB6AE4">
        <w:rPr>
          <w:rFonts w:cs="Arial"/>
          <w:sz w:val="22"/>
          <w:szCs w:val="22"/>
          <w:u w:val="single"/>
        </w:rPr>
        <w:t>)</w:t>
      </w:r>
    </w:p>
    <w:p w14:paraId="0048CD5A" w14:textId="5849C7EB" w:rsidR="00CA5A3B" w:rsidRPr="00CA5A3B" w:rsidRDefault="00CA5A3B" w:rsidP="009E5D8B">
      <w:pPr>
        <w:spacing w:after="200" w:line="276" w:lineRule="auto"/>
        <w:rPr>
          <w:rFonts w:cs="Arial"/>
          <w:sz w:val="22"/>
          <w:szCs w:val="22"/>
        </w:rPr>
      </w:pPr>
      <w:r>
        <w:rPr>
          <w:rFonts w:cs="Arial"/>
          <w:sz w:val="22"/>
          <w:szCs w:val="22"/>
        </w:rPr>
        <w:t>Figure 7: Maternity (antenatal) FFT satisfaction % comparison CWFT, NWL and National</w:t>
      </w:r>
    </w:p>
    <w:p w14:paraId="6D788884" w14:textId="0A933940" w:rsidR="00940E17" w:rsidRDefault="00EF5787" w:rsidP="00CA5A3B">
      <w:pPr>
        <w:rPr>
          <w:rFonts w:cs="Arial"/>
          <w:sz w:val="22"/>
          <w:szCs w:val="22"/>
        </w:rPr>
      </w:pPr>
      <w:r>
        <w:rPr>
          <w:noProof/>
          <w:lang w:eastAsia="en-GB"/>
        </w:rPr>
        <w:drawing>
          <wp:inline distT="0" distB="0" distL="0" distR="0" wp14:anchorId="2837A4EC" wp14:editId="2C952E05">
            <wp:extent cx="6120130" cy="3447415"/>
            <wp:effectExtent l="0" t="0" r="13970" b="63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1D649A9" w14:textId="77777777" w:rsidR="00346836" w:rsidRDefault="00346836" w:rsidP="00CA5A3B">
      <w:pPr>
        <w:spacing w:after="200" w:line="276" w:lineRule="auto"/>
        <w:rPr>
          <w:rFonts w:cs="Arial"/>
          <w:noProof/>
          <w:sz w:val="22"/>
          <w:szCs w:val="22"/>
          <w:lang w:eastAsia="en-GB"/>
        </w:rPr>
      </w:pPr>
    </w:p>
    <w:p w14:paraId="329F116F" w14:textId="77777777" w:rsidR="00346836" w:rsidRDefault="00346836" w:rsidP="00CA5A3B">
      <w:pPr>
        <w:spacing w:after="200" w:line="276" w:lineRule="auto"/>
        <w:rPr>
          <w:rFonts w:cs="Arial"/>
          <w:noProof/>
          <w:sz w:val="22"/>
          <w:szCs w:val="22"/>
          <w:lang w:eastAsia="en-GB"/>
        </w:rPr>
      </w:pPr>
    </w:p>
    <w:p w14:paraId="6291671F" w14:textId="77777777" w:rsidR="00346836" w:rsidRDefault="00346836" w:rsidP="00CA5A3B">
      <w:pPr>
        <w:spacing w:after="200" w:line="276" w:lineRule="auto"/>
        <w:rPr>
          <w:rFonts w:cs="Arial"/>
          <w:noProof/>
          <w:sz w:val="22"/>
          <w:szCs w:val="22"/>
          <w:lang w:eastAsia="en-GB"/>
        </w:rPr>
      </w:pPr>
    </w:p>
    <w:p w14:paraId="3C4217C8" w14:textId="74BBC56A" w:rsidR="00CA5A3B" w:rsidRDefault="00CA5A3B" w:rsidP="00CA5A3B">
      <w:pPr>
        <w:spacing w:after="200" w:line="276" w:lineRule="auto"/>
        <w:rPr>
          <w:rFonts w:cs="Arial"/>
          <w:noProof/>
          <w:sz w:val="22"/>
          <w:szCs w:val="22"/>
          <w:lang w:eastAsia="en-GB"/>
        </w:rPr>
      </w:pPr>
      <w:r>
        <w:rPr>
          <w:rFonts w:cs="Arial"/>
          <w:noProof/>
          <w:sz w:val="22"/>
          <w:szCs w:val="22"/>
          <w:lang w:eastAsia="en-GB"/>
        </w:rPr>
        <w:lastRenderedPageBreak/>
        <w:t xml:space="preserve">Figure 8: </w:t>
      </w:r>
      <w:r w:rsidR="00EC3951">
        <w:rPr>
          <w:rFonts w:cs="Arial"/>
          <w:noProof/>
          <w:sz w:val="22"/>
          <w:szCs w:val="22"/>
          <w:lang w:eastAsia="en-GB"/>
        </w:rPr>
        <w:t>Maternity (antenatal)</w:t>
      </w:r>
      <w:r>
        <w:rPr>
          <w:rFonts w:cs="Arial"/>
          <w:noProof/>
          <w:sz w:val="22"/>
          <w:szCs w:val="22"/>
          <w:lang w:eastAsia="en-GB"/>
        </w:rPr>
        <w:t xml:space="preserve"> FFT total responses comparison CWFT, NWL and National</w:t>
      </w:r>
    </w:p>
    <w:tbl>
      <w:tblPr>
        <w:tblW w:w="5576" w:type="pct"/>
        <w:tblInd w:w="-289" w:type="dxa"/>
        <w:tblLook w:val="04A0" w:firstRow="1" w:lastRow="0" w:firstColumn="1" w:lastColumn="0" w:noHBand="0" w:noVBand="1"/>
      </w:tblPr>
      <w:tblGrid>
        <w:gridCol w:w="738"/>
        <w:gridCol w:w="826"/>
        <w:gridCol w:w="900"/>
        <w:gridCol w:w="808"/>
        <w:gridCol w:w="743"/>
        <w:gridCol w:w="853"/>
        <w:gridCol w:w="833"/>
        <w:gridCol w:w="819"/>
        <w:gridCol w:w="864"/>
        <w:gridCol w:w="845"/>
        <w:gridCol w:w="798"/>
        <w:gridCol w:w="833"/>
        <w:gridCol w:w="877"/>
      </w:tblGrid>
      <w:tr w:rsidR="00EF5787" w:rsidRPr="00EF5787" w14:paraId="584DA27D" w14:textId="77777777" w:rsidTr="00C262DB">
        <w:trPr>
          <w:trHeight w:val="288"/>
        </w:trPr>
        <w:tc>
          <w:tcPr>
            <w:tcW w:w="5000" w:type="pct"/>
            <w:gridSpan w:val="13"/>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09BE92F" w14:textId="77777777" w:rsidR="00EF5787" w:rsidRPr="00EF5787" w:rsidRDefault="00EF5787" w:rsidP="00EF5787">
            <w:pPr>
              <w:spacing w:after="0"/>
              <w:jc w:val="center"/>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Antenatal Response Total</w:t>
            </w:r>
          </w:p>
        </w:tc>
      </w:tr>
      <w:tr w:rsidR="00EF5787" w:rsidRPr="00EF5787" w14:paraId="14A7DD46" w14:textId="77777777" w:rsidTr="00C262DB">
        <w:trPr>
          <w:trHeight w:val="288"/>
        </w:trPr>
        <w:tc>
          <w:tcPr>
            <w:tcW w:w="344" w:type="pct"/>
            <w:tcBorders>
              <w:top w:val="nil"/>
              <w:left w:val="single" w:sz="4" w:space="0" w:color="auto"/>
              <w:bottom w:val="single" w:sz="4" w:space="0" w:color="auto"/>
              <w:right w:val="single" w:sz="4" w:space="0" w:color="auto"/>
            </w:tcBorders>
            <w:shd w:val="clear" w:color="000000" w:fill="92D050"/>
            <w:noWrap/>
            <w:vAlign w:val="bottom"/>
            <w:hideMark/>
          </w:tcPr>
          <w:p w14:paraId="355F7D43" w14:textId="77777777" w:rsidR="00EF5787" w:rsidRPr="00EF5787" w:rsidRDefault="00EF5787" w:rsidP="00EF5787">
            <w:pPr>
              <w:spacing w:after="0"/>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 </w:t>
            </w:r>
          </w:p>
        </w:tc>
        <w:tc>
          <w:tcPr>
            <w:tcW w:w="385" w:type="pct"/>
            <w:tcBorders>
              <w:top w:val="nil"/>
              <w:left w:val="nil"/>
              <w:bottom w:val="single" w:sz="4" w:space="0" w:color="auto"/>
              <w:right w:val="single" w:sz="4" w:space="0" w:color="auto"/>
            </w:tcBorders>
            <w:shd w:val="clear" w:color="000000" w:fill="92D050"/>
            <w:noWrap/>
            <w:vAlign w:val="bottom"/>
            <w:hideMark/>
          </w:tcPr>
          <w:p w14:paraId="2B5543BD"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Apr-23</w:t>
            </w:r>
          </w:p>
        </w:tc>
        <w:tc>
          <w:tcPr>
            <w:tcW w:w="419" w:type="pct"/>
            <w:tcBorders>
              <w:top w:val="nil"/>
              <w:left w:val="nil"/>
              <w:bottom w:val="single" w:sz="4" w:space="0" w:color="auto"/>
              <w:right w:val="single" w:sz="4" w:space="0" w:color="auto"/>
            </w:tcBorders>
            <w:shd w:val="clear" w:color="000000" w:fill="92D050"/>
            <w:noWrap/>
            <w:vAlign w:val="bottom"/>
            <w:hideMark/>
          </w:tcPr>
          <w:p w14:paraId="01147FAF"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May-23</w:t>
            </w:r>
          </w:p>
        </w:tc>
        <w:tc>
          <w:tcPr>
            <w:tcW w:w="376" w:type="pct"/>
            <w:tcBorders>
              <w:top w:val="nil"/>
              <w:left w:val="nil"/>
              <w:bottom w:val="single" w:sz="4" w:space="0" w:color="auto"/>
              <w:right w:val="single" w:sz="4" w:space="0" w:color="auto"/>
            </w:tcBorders>
            <w:shd w:val="clear" w:color="000000" w:fill="92D050"/>
            <w:noWrap/>
            <w:vAlign w:val="bottom"/>
            <w:hideMark/>
          </w:tcPr>
          <w:p w14:paraId="0A72FDC5"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Jun-23</w:t>
            </w:r>
          </w:p>
        </w:tc>
        <w:tc>
          <w:tcPr>
            <w:tcW w:w="346" w:type="pct"/>
            <w:tcBorders>
              <w:top w:val="nil"/>
              <w:left w:val="nil"/>
              <w:bottom w:val="single" w:sz="4" w:space="0" w:color="auto"/>
              <w:right w:val="single" w:sz="4" w:space="0" w:color="auto"/>
            </w:tcBorders>
            <w:shd w:val="clear" w:color="000000" w:fill="92D050"/>
            <w:noWrap/>
            <w:vAlign w:val="bottom"/>
            <w:hideMark/>
          </w:tcPr>
          <w:p w14:paraId="787E33F3"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Jul-23</w:t>
            </w:r>
          </w:p>
        </w:tc>
        <w:tc>
          <w:tcPr>
            <w:tcW w:w="397" w:type="pct"/>
            <w:tcBorders>
              <w:top w:val="nil"/>
              <w:left w:val="nil"/>
              <w:bottom w:val="single" w:sz="4" w:space="0" w:color="auto"/>
              <w:right w:val="single" w:sz="4" w:space="0" w:color="auto"/>
            </w:tcBorders>
            <w:shd w:val="clear" w:color="000000" w:fill="92D050"/>
            <w:noWrap/>
            <w:vAlign w:val="bottom"/>
            <w:hideMark/>
          </w:tcPr>
          <w:p w14:paraId="1C9BDE43"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Aug-23</w:t>
            </w:r>
          </w:p>
        </w:tc>
        <w:tc>
          <w:tcPr>
            <w:tcW w:w="388" w:type="pct"/>
            <w:tcBorders>
              <w:top w:val="nil"/>
              <w:left w:val="nil"/>
              <w:bottom w:val="single" w:sz="4" w:space="0" w:color="auto"/>
              <w:right w:val="single" w:sz="4" w:space="0" w:color="auto"/>
            </w:tcBorders>
            <w:shd w:val="clear" w:color="000000" w:fill="92D050"/>
            <w:noWrap/>
            <w:vAlign w:val="bottom"/>
            <w:hideMark/>
          </w:tcPr>
          <w:p w14:paraId="22AA7EA4"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Sep-23</w:t>
            </w:r>
          </w:p>
        </w:tc>
        <w:tc>
          <w:tcPr>
            <w:tcW w:w="381" w:type="pct"/>
            <w:tcBorders>
              <w:top w:val="nil"/>
              <w:left w:val="nil"/>
              <w:bottom w:val="single" w:sz="4" w:space="0" w:color="auto"/>
              <w:right w:val="single" w:sz="4" w:space="0" w:color="auto"/>
            </w:tcBorders>
            <w:shd w:val="clear" w:color="000000" w:fill="92D050"/>
            <w:noWrap/>
            <w:vAlign w:val="bottom"/>
            <w:hideMark/>
          </w:tcPr>
          <w:p w14:paraId="01C92C4E"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Oct-23</w:t>
            </w:r>
          </w:p>
        </w:tc>
        <w:tc>
          <w:tcPr>
            <w:tcW w:w="402" w:type="pct"/>
            <w:tcBorders>
              <w:top w:val="nil"/>
              <w:left w:val="nil"/>
              <w:bottom w:val="single" w:sz="4" w:space="0" w:color="auto"/>
              <w:right w:val="single" w:sz="4" w:space="0" w:color="auto"/>
            </w:tcBorders>
            <w:shd w:val="clear" w:color="000000" w:fill="92D050"/>
            <w:noWrap/>
            <w:vAlign w:val="bottom"/>
            <w:hideMark/>
          </w:tcPr>
          <w:p w14:paraId="1DB54DD5"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Nov-23</w:t>
            </w:r>
          </w:p>
        </w:tc>
        <w:tc>
          <w:tcPr>
            <w:tcW w:w="393" w:type="pct"/>
            <w:tcBorders>
              <w:top w:val="nil"/>
              <w:left w:val="nil"/>
              <w:bottom w:val="single" w:sz="4" w:space="0" w:color="auto"/>
              <w:right w:val="single" w:sz="4" w:space="0" w:color="auto"/>
            </w:tcBorders>
            <w:shd w:val="clear" w:color="000000" w:fill="92D050"/>
            <w:noWrap/>
            <w:vAlign w:val="bottom"/>
            <w:hideMark/>
          </w:tcPr>
          <w:p w14:paraId="4F779F46"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Dec-23</w:t>
            </w:r>
          </w:p>
        </w:tc>
        <w:tc>
          <w:tcPr>
            <w:tcW w:w="372" w:type="pct"/>
            <w:tcBorders>
              <w:top w:val="nil"/>
              <w:left w:val="nil"/>
              <w:bottom w:val="single" w:sz="4" w:space="0" w:color="auto"/>
              <w:right w:val="single" w:sz="4" w:space="0" w:color="auto"/>
            </w:tcBorders>
            <w:shd w:val="clear" w:color="000000" w:fill="92D050"/>
            <w:noWrap/>
            <w:vAlign w:val="bottom"/>
            <w:hideMark/>
          </w:tcPr>
          <w:p w14:paraId="3B26286E"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Jan-24</w:t>
            </w:r>
          </w:p>
        </w:tc>
        <w:tc>
          <w:tcPr>
            <w:tcW w:w="388" w:type="pct"/>
            <w:tcBorders>
              <w:top w:val="nil"/>
              <w:left w:val="nil"/>
              <w:bottom w:val="single" w:sz="4" w:space="0" w:color="auto"/>
              <w:right w:val="single" w:sz="4" w:space="0" w:color="auto"/>
            </w:tcBorders>
            <w:shd w:val="clear" w:color="000000" w:fill="92D050"/>
            <w:noWrap/>
            <w:vAlign w:val="bottom"/>
            <w:hideMark/>
          </w:tcPr>
          <w:p w14:paraId="41E9E24C"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Feb-24</w:t>
            </w:r>
          </w:p>
        </w:tc>
        <w:tc>
          <w:tcPr>
            <w:tcW w:w="408" w:type="pct"/>
            <w:tcBorders>
              <w:top w:val="nil"/>
              <w:left w:val="nil"/>
              <w:bottom w:val="single" w:sz="4" w:space="0" w:color="auto"/>
              <w:right w:val="single" w:sz="4" w:space="0" w:color="auto"/>
            </w:tcBorders>
            <w:shd w:val="clear" w:color="000000" w:fill="92D050"/>
            <w:noWrap/>
            <w:vAlign w:val="bottom"/>
            <w:hideMark/>
          </w:tcPr>
          <w:p w14:paraId="449B4B63"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Mar-24</w:t>
            </w:r>
          </w:p>
        </w:tc>
      </w:tr>
      <w:tr w:rsidR="00EF5787" w:rsidRPr="00EF5787" w14:paraId="52A2D118" w14:textId="77777777" w:rsidTr="00C262DB">
        <w:trPr>
          <w:trHeight w:val="288"/>
        </w:trPr>
        <w:tc>
          <w:tcPr>
            <w:tcW w:w="344" w:type="pct"/>
            <w:tcBorders>
              <w:top w:val="nil"/>
              <w:left w:val="single" w:sz="4" w:space="0" w:color="auto"/>
              <w:bottom w:val="single" w:sz="4" w:space="0" w:color="auto"/>
              <w:right w:val="single" w:sz="4" w:space="0" w:color="auto"/>
            </w:tcBorders>
            <w:shd w:val="clear" w:color="000000" w:fill="92D050"/>
            <w:noWrap/>
            <w:vAlign w:val="bottom"/>
            <w:hideMark/>
          </w:tcPr>
          <w:p w14:paraId="06E084C6" w14:textId="77777777" w:rsidR="00EF5787" w:rsidRPr="00EF5787" w:rsidRDefault="00EF5787" w:rsidP="00EF5787">
            <w:pPr>
              <w:spacing w:after="0"/>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CWFT</w:t>
            </w:r>
          </w:p>
        </w:tc>
        <w:tc>
          <w:tcPr>
            <w:tcW w:w="385" w:type="pct"/>
            <w:tcBorders>
              <w:top w:val="nil"/>
              <w:left w:val="nil"/>
              <w:bottom w:val="single" w:sz="4" w:space="0" w:color="auto"/>
              <w:right w:val="single" w:sz="4" w:space="0" w:color="auto"/>
            </w:tcBorders>
            <w:shd w:val="clear" w:color="000000" w:fill="F2F2F2"/>
            <w:noWrap/>
            <w:vAlign w:val="bottom"/>
            <w:hideMark/>
          </w:tcPr>
          <w:p w14:paraId="6E525833"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52</w:t>
            </w:r>
          </w:p>
        </w:tc>
        <w:tc>
          <w:tcPr>
            <w:tcW w:w="419" w:type="pct"/>
            <w:tcBorders>
              <w:top w:val="nil"/>
              <w:left w:val="nil"/>
              <w:bottom w:val="single" w:sz="4" w:space="0" w:color="auto"/>
              <w:right w:val="single" w:sz="4" w:space="0" w:color="auto"/>
            </w:tcBorders>
            <w:shd w:val="clear" w:color="000000" w:fill="F2F2F2"/>
            <w:noWrap/>
            <w:vAlign w:val="bottom"/>
            <w:hideMark/>
          </w:tcPr>
          <w:p w14:paraId="680E862D"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53</w:t>
            </w:r>
          </w:p>
        </w:tc>
        <w:tc>
          <w:tcPr>
            <w:tcW w:w="376" w:type="pct"/>
            <w:tcBorders>
              <w:top w:val="nil"/>
              <w:left w:val="nil"/>
              <w:bottom w:val="single" w:sz="4" w:space="0" w:color="auto"/>
              <w:right w:val="single" w:sz="4" w:space="0" w:color="auto"/>
            </w:tcBorders>
            <w:shd w:val="clear" w:color="000000" w:fill="F2F2F2"/>
            <w:noWrap/>
            <w:vAlign w:val="bottom"/>
            <w:hideMark/>
          </w:tcPr>
          <w:p w14:paraId="103E4AB0"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64</w:t>
            </w:r>
          </w:p>
        </w:tc>
        <w:tc>
          <w:tcPr>
            <w:tcW w:w="346" w:type="pct"/>
            <w:tcBorders>
              <w:top w:val="nil"/>
              <w:left w:val="nil"/>
              <w:bottom w:val="single" w:sz="4" w:space="0" w:color="auto"/>
              <w:right w:val="single" w:sz="4" w:space="0" w:color="auto"/>
            </w:tcBorders>
            <w:shd w:val="clear" w:color="000000" w:fill="F2F2F2"/>
            <w:noWrap/>
            <w:vAlign w:val="bottom"/>
            <w:hideMark/>
          </w:tcPr>
          <w:p w14:paraId="40C3E95A"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58</w:t>
            </w:r>
          </w:p>
        </w:tc>
        <w:tc>
          <w:tcPr>
            <w:tcW w:w="397" w:type="pct"/>
            <w:tcBorders>
              <w:top w:val="nil"/>
              <w:left w:val="nil"/>
              <w:bottom w:val="single" w:sz="4" w:space="0" w:color="auto"/>
              <w:right w:val="single" w:sz="4" w:space="0" w:color="auto"/>
            </w:tcBorders>
            <w:shd w:val="clear" w:color="000000" w:fill="F2F2F2"/>
            <w:noWrap/>
            <w:vAlign w:val="bottom"/>
            <w:hideMark/>
          </w:tcPr>
          <w:p w14:paraId="36DBEA01"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66</w:t>
            </w:r>
          </w:p>
        </w:tc>
        <w:tc>
          <w:tcPr>
            <w:tcW w:w="388" w:type="pct"/>
            <w:tcBorders>
              <w:top w:val="nil"/>
              <w:left w:val="nil"/>
              <w:bottom w:val="single" w:sz="4" w:space="0" w:color="auto"/>
              <w:right w:val="single" w:sz="4" w:space="0" w:color="auto"/>
            </w:tcBorders>
            <w:shd w:val="clear" w:color="000000" w:fill="F2F2F2"/>
            <w:noWrap/>
            <w:vAlign w:val="bottom"/>
            <w:hideMark/>
          </w:tcPr>
          <w:p w14:paraId="2DACE6B4"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77</w:t>
            </w:r>
          </w:p>
        </w:tc>
        <w:tc>
          <w:tcPr>
            <w:tcW w:w="381" w:type="pct"/>
            <w:tcBorders>
              <w:top w:val="nil"/>
              <w:left w:val="nil"/>
              <w:bottom w:val="single" w:sz="4" w:space="0" w:color="auto"/>
              <w:right w:val="single" w:sz="4" w:space="0" w:color="auto"/>
            </w:tcBorders>
            <w:shd w:val="clear" w:color="000000" w:fill="F2F2F2"/>
            <w:noWrap/>
            <w:vAlign w:val="bottom"/>
            <w:hideMark/>
          </w:tcPr>
          <w:p w14:paraId="5D1B6606"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59</w:t>
            </w:r>
          </w:p>
        </w:tc>
        <w:tc>
          <w:tcPr>
            <w:tcW w:w="402" w:type="pct"/>
            <w:tcBorders>
              <w:top w:val="nil"/>
              <w:left w:val="nil"/>
              <w:bottom w:val="single" w:sz="4" w:space="0" w:color="auto"/>
              <w:right w:val="single" w:sz="4" w:space="0" w:color="auto"/>
            </w:tcBorders>
            <w:shd w:val="clear" w:color="000000" w:fill="F2F2F2"/>
            <w:noWrap/>
            <w:vAlign w:val="bottom"/>
            <w:hideMark/>
          </w:tcPr>
          <w:p w14:paraId="7F25DDD3"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45</w:t>
            </w:r>
          </w:p>
        </w:tc>
        <w:tc>
          <w:tcPr>
            <w:tcW w:w="393" w:type="pct"/>
            <w:tcBorders>
              <w:top w:val="nil"/>
              <w:left w:val="nil"/>
              <w:bottom w:val="single" w:sz="4" w:space="0" w:color="auto"/>
              <w:right w:val="single" w:sz="4" w:space="0" w:color="auto"/>
            </w:tcBorders>
            <w:shd w:val="clear" w:color="000000" w:fill="F2F2F2"/>
            <w:noWrap/>
            <w:vAlign w:val="bottom"/>
            <w:hideMark/>
          </w:tcPr>
          <w:p w14:paraId="6ABBEC33"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48</w:t>
            </w:r>
          </w:p>
        </w:tc>
        <w:tc>
          <w:tcPr>
            <w:tcW w:w="372" w:type="pct"/>
            <w:tcBorders>
              <w:top w:val="nil"/>
              <w:left w:val="nil"/>
              <w:bottom w:val="single" w:sz="4" w:space="0" w:color="auto"/>
              <w:right w:val="single" w:sz="4" w:space="0" w:color="auto"/>
            </w:tcBorders>
            <w:shd w:val="clear" w:color="000000" w:fill="F2F2F2"/>
            <w:noWrap/>
            <w:vAlign w:val="bottom"/>
            <w:hideMark/>
          </w:tcPr>
          <w:p w14:paraId="466146CE"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59</w:t>
            </w:r>
          </w:p>
        </w:tc>
        <w:tc>
          <w:tcPr>
            <w:tcW w:w="388" w:type="pct"/>
            <w:tcBorders>
              <w:top w:val="nil"/>
              <w:left w:val="nil"/>
              <w:bottom w:val="single" w:sz="4" w:space="0" w:color="auto"/>
              <w:right w:val="single" w:sz="4" w:space="0" w:color="auto"/>
            </w:tcBorders>
            <w:shd w:val="clear" w:color="000000" w:fill="F2F2F2"/>
            <w:noWrap/>
            <w:vAlign w:val="bottom"/>
            <w:hideMark/>
          </w:tcPr>
          <w:p w14:paraId="1CE6245B"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64</w:t>
            </w:r>
          </w:p>
        </w:tc>
        <w:tc>
          <w:tcPr>
            <w:tcW w:w="408" w:type="pct"/>
            <w:tcBorders>
              <w:top w:val="nil"/>
              <w:left w:val="nil"/>
              <w:bottom w:val="single" w:sz="4" w:space="0" w:color="auto"/>
              <w:right w:val="single" w:sz="4" w:space="0" w:color="auto"/>
            </w:tcBorders>
            <w:shd w:val="clear" w:color="000000" w:fill="F2F2F2"/>
            <w:noWrap/>
            <w:vAlign w:val="bottom"/>
            <w:hideMark/>
          </w:tcPr>
          <w:p w14:paraId="440D7087"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60</w:t>
            </w:r>
          </w:p>
        </w:tc>
      </w:tr>
      <w:tr w:rsidR="00EF5787" w:rsidRPr="00EF5787" w14:paraId="1FAB152F" w14:textId="77777777" w:rsidTr="00C262DB">
        <w:trPr>
          <w:trHeight w:val="288"/>
        </w:trPr>
        <w:tc>
          <w:tcPr>
            <w:tcW w:w="344" w:type="pct"/>
            <w:tcBorders>
              <w:top w:val="nil"/>
              <w:left w:val="single" w:sz="4" w:space="0" w:color="auto"/>
              <w:bottom w:val="single" w:sz="4" w:space="0" w:color="auto"/>
              <w:right w:val="single" w:sz="4" w:space="0" w:color="auto"/>
            </w:tcBorders>
            <w:shd w:val="clear" w:color="000000" w:fill="92D050"/>
            <w:noWrap/>
            <w:vAlign w:val="bottom"/>
            <w:hideMark/>
          </w:tcPr>
          <w:p w14:paraId="4B3C6EB1" w14:textId="77777777" w:rsidR="00EF5787" w:rsidRPr="00EF5787" w:rsidRDefault="00EF5787" w:rsidP="00EF5787">
            <w:pPr>
              <w:spacing w:after="0"/>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LNW</w:t>
            </w:r>
          </w:p>
        </w:tc>
        <w:tc>
          <w:tcPr>
            <w:tcW w:w="385" w:type="pct"/>
            <w:tcBorders>
              <w:top w:val="nil"/>
              <w:left w:val="nil"/>
              <w:bottom w:val="single" w:sz="4" w:space="0" w:color="auto"/>
              <w:right w:val="single" w:sz="4" w:space="0" w:color="auto"/>
            </w:tcBorders>
            <w:shd w:val="clear" w:color="000000" w:fill="F2F2F2"/>
            <w:noWrap/>
            <w:vAlign w:val="bottom"/>
            <w:hideMark/>
          </w:tcPr>
          <w:p w14:paraId="686F687F"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75</w:t>
            </w:r>
          </w:p>
        </w:tc>
        <w:tc>
          <w:tcPr>
            <w:tcW w:w="419" w:type="pct"/>
            <w:tcBorders>
              <w:top w:val="nil"/>
              <w:left w:val="nil"/>
              <w:bottom w:val="single" w:sz="4" w:space="0" w:color="auto"/>
              <w:right w:val="single" w:sz="4" w:space="0" w:color="auto"/>
            </w:tcBorders>
            <w:shd w:val="clear" w:color="000000" w:fill="F2F2F2"/>
            <w:noWrap/>
            <w:vAlign w:val="bottom"/>
            <w:hideMark/>
          </w:tcPr>
          <w:p w14:paraId="1508B511"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70</w:t>
            </w:r>
          </w:p>
        </w:tc>
        <w:tc>
          <w:tcPr>
            <w:tcW w:w="376" w:type="pct"/>
            <w:tcBorders>
              <w:top w:val="nil"/>
              <w:left w:val="nil"/>
              <w:bottom w:val="single" w:sz="4" w:space="0" w:color="auto"/>
              <w:right w:val="single" w:sz="4" w:space="0" w:color="auto"/>
            </w:tcBorders>
            <w:shd w:val="clear" w:color="000000" w:fill="F2F2F2"/>
            <w:noWrap/>
            <w:vAlign w:val="bottom"/>
            <w:hideMark/>
          </w:tcPr>
          <w:p w14:paraId="0A171A5B"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74</w:t>
            </w:r>
          </w:p>
        </w:tc>
        <w:tc>
          <w:tcPr>
            <w:tcW w:w="346" w:type="pct"/>
            <w:tcBorders>
              <w:top w:val="nil"/>
              <w:left w:val="nil"/>
              <w:bottom w:val="single" w:sz="4" w:space="0" w:color="auto"/>
              <w:right w:val="single" w:sz="4" w:space="0" w:color="auto"/>
            </w:tcBorders>
            <w:shd w:val="clear" w:color="000000" w:fill="F2F2F2"/>
            <w:noWrap/>
            <w:vAlign w:val="bottom"/>
            <w:hideMark/>
          </w:tcPr>
          <w:p w14:paraId="335ACBFB"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97</w:t>
            </w:r>
          </w:p>
        </w:tc>
        <w:tc>
          <w:tcPr>
            <w:tcW w:w="397" w:type="pct"/>
            <w:tcBorders>
              <w:top w:val="nil"/>
              <w:left w:val="nil"/>
              <w:bottom w:val="single" w:sz="4" w:space="0" w:color="auto"/>
              <w:right w:val="single" w:sz="4" w:space="0" w:color="auto"/>
            </w:tcBorders>
            <w:shd w:val="clear" w:color="000000" w:fill="F2F2F2"/>
            <w:noWrap/>
            <w:vAlign w:val="bottom"/>
            <w:hideMark/>
          </w:tcPr>
          <w:p w14:paraId="3D503B7E"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55</w:t>
            </w:r>
          </w:p>
        </w:tc>
        <w:tc>
          <w:tcPr>
            <w:tcW w:w="388" w:type="pct"/>
            <w:tcBorders>
              <w:top w:val="nil"/>
              <w:left w:val="nil"/>
              <w:bottom w:val="single" w:sz="4" w:space="0" w:color="auto"/>
              <w:right w:val="single" w:sz="4" w:space="0" w:color="auto"/>
            </w:tcBorders>
            <w:shd w:val="clear" w:color="000000" w:fill="F2F2F2"/>
            <w:noWrap/>
            <w:vAlign w:val="bottom"/>
            <w:hideMark/>
          </w:tcPr>
          <w:p w14:paraId="4A072C69"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0</w:t>
            </w:r>
          </w:p>
        </w:tc>
        <w:tc>
          <w:tcPr>
            <w:tcW w:w="381" w:type="pct"/>
            <w:tcBorders>
              <w:top w:val="nil"/>
              <w:left w:val="nil"/>
              <w:bottom w:val="single" w:sz="4" w:space="0" w:color="auto"/>
              <w:right w:val="single" w:sz="4" w:space="0" w:color="auto"/>
            </w:tcBorders>
            <w:shd w:val="clear" w:color="000000" w:fill="F2F2F2"/>
            <w:noWrap/>
            <w:vAlign w:val="bottom"/>
            <w:hideMark/>
          </w:tcPr>
          <w:p w14:paraId="103F979B"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1</w:t>
            </w:r>
          </w:p>
        </w:tc>
        <w:tc>
          <w:tcPr>
            <w:tcW w:w="402" w:type="pct"/>
            <w:tcBorders>
              <w:top w:val="nil"/>
              <w:left w:val="nil"/>
              <w:bottom w:val="single" w:sz="4" w:space="0" w:color="auto"/>
              <w:right w:val="single" w:sz="4" w:space="0" w:color="auto"/>
            </w:tcBorders>
            <w:shd w:val="clear" w:color="000000" w:fill="F2F2F2"/>
            <w:noWrap/>
            <w:vAlign w:val="bottom"/>
            <w:hideMark/>
          </w:tcPr>
          <w:p w14:paraId="72A7D884"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0</w:t>
            </w:r>
          </w:p>
        </w:tc>
        <w:tc>
          <w:tcPr>
            <w:tcW w:w="393" w:type="pct"/>
            <w:tcBorders>
              <w:top w:val="nil"/>
              <w:left w:val="nil"/>
              <w:bottom w:val="single" w:sz="4" w:space="0" w:color="auto"/>
              <w:right w:val="single" w:sz="4" w:space="0" w:color="auto"/>
            </w:tcBorders>
            <w:shd w:val="clear" w:color="000000" w:fill="F2F2F2"/>
            <w:noWrap/>
            <w:vAlign w:val="bottom"/>
            <w:hideMark/>
          </w:tcPr>
          <w:p w14:paraId="2C2A3D89"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0</w:t>
            </w:r>
          </w:p>
        </w:tc>
        <w:tc>
          <w:tcPr>
            <w:tcW w:w="372" w:type="pct"/>
            <w:tcBorders>
              <w:top w:val="nil"/>
              <w:left w:val="nil"/>
              <w:bottom w:val="single" w:sz="4" w:space="0" w:color="auto"/>
              <w:right w:val="single" w:sz="4" w:space="0" w:color="auto"/>
            </w:tcBorders>
            <w:shd w:val="clear" w:color="000000" w:fill="F2F2F2"/>
            <w:noWrap/>
            <w:vAlign w:val="bottom"/>
            <w:hideMark/>
          </w:tcPr>
          <w:p w14:paraId="6B8774BA"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33</w:t>
            </w:r>
          </w:p>
        </w:tc>
        <w:tc>
          <w:tcPr>
            <w:tcW w:w="388" w:type="pct"/>
            <w:tcBorders>
              <w:top w:val="nil"/>
              <w:left w:val="nil"/>
              <w:bottom w:val="single" w:sz="4" w:space="0" w:color="auto"/>
              <w:right w:val="single" w:sz="4" w:space="0" w:color="auto"/>
            </w:tcBorders>
            <w:shd w:val="clear" w:color="000000" w:fill="F2F2F2"/>
            <w:noWrap/>
            <w:vAlign w:val="bottom"/>
            <w:hideMark/>
          </w:tcPr>
          <w:p w14:paraId="4695FA1B"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2</w:t>
            </w:r>
          </w:p>
        </w:tc>
        <w:tc>
          <w:tcPr>
            <w:tcW w:w="408" w:type="pct"/>
            <w:tcBorders>
              <w:top w:val="nil"/>
              <w:left w:val="nil"/>
              <w:bottom w:val="single" w:sz="4" w:space="0" w:color="auto"/>
              <w:right w:val="single" w:sz="4" w:space="0" w:color="auto"/>
            </w:tcBorders>
            <w:shd w:val="clear" w:color="000000" w:fill="F2F2F2"/>
            <w:noWrap/>
            <w:vAlign w:val="bottom"/>
            <w:hideMark/>
          </w:tcPr>
          <w:p w14:paraId="02A8C570"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2</w:t>
            </w:r>
          </w:p>
        </w:tc>
      </w:tr>
      <w:tr w:rsidR="00EF5787" w:rsidRPr="00EF5787" w14:paraId="0D7EFC8B" w14:textId="77777777" w:rsidTr="00C262DB">
        <w:trPr>
          <w:trHeight w:val="288"/>
        </w:trPr>
        <w:tc>
          <w:tcPr>
            <w:tcW w:w="344" w:type="pct"/>
            <w:tcBorders>
              <w:top w:val="nil"/>
              <w:left w:val="single" w:sz="4" w:space="0" w:color="auto"/>
              <w:bottom w:val="single" w:sz="4" w:space="0" w:color="auto"/>
              <w:right w:val="single" w:sz="4" w:space="0" w:color="auto"/>
            </w:tcBorders>
            <w:shd w:val="clear" w:color="000000" w:fill="92D050"/>
            <w:noWrap/>
            <w:vAlign w:val="bottom"/>
            <w:hideMark/>
          </w:tcPr>
          <w:p w14:paraId="01586819" w14:textId="77777777" w:rsidR="00EF5787" w:rsidRPr="00EF5787" w:rsidRDefault="00EF5787" w:rsidP="00EF5787">
            <w:pPr>
              <w:spacing w:after="0"/>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ICH</w:t>
            </w:r>
          </w:p>
        </w:tc>
        <w:tc>
          <w:tcPr>
            <w:tcW w:w="385" w:type="pct"/>
            <w:tcBorders>
              <w:top w:val="nil"/>
              <w:left w:val="nil"/>
              <w:bottom w:val="single" w:sz="4" w:space="0" w:color="auto"/>
              <w:right w:val="single" w:sz="4" w:space="0" w:color="auto"/>
            </w:tcBorders>
            <w:shd w:val="clear" w:color="000000" w:fill="F2F2F2"/>
            <w:noWrap/>
            <w:vAlign w:val="bottom"/>
            <w:hideMark/>
          </w:tcPr>
          <w:p w14:paraId="379E3E28"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50</w:t>
            </w:r>
          </w:p>
        </w:tc>
        <w:tc>
          <w:tcPr>
            <w:tcW w:w="419" w:type="pct"/>
            <w:tcBorders>
              <w:top w:val="nil"/>
              <w:left w:val="nil"/>
              <w:bottom w:val="single" w:sz="4" w:space="0" w:color="auto"/>
              <w:right w:val="single" w:sz="4" w:space="0" w:color="auto"/>
            </w:tcBorders>
            <w:shd w:val="clear" w:color="000000" w:fill="F2F2F2"/>
            <w:noWrap/>
            <w:vAlign w:val="bottom"/>
            <w:hideMark/>
          </w:tcPr>
          <w:p w14:paraId="4CC34B6A"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47</w:t>
            </w:r>
          </w:p>
        </w:tc>
        <w:tc>
          <w:tcPr>
            <w:tcW w:w="376" w:type="pct"/>
            <w:tcBorders>
              <w:top w:val="nil"/>
              <w:left w:val="nil"/>
              <w:bottom w:val="single" w:sz="4" w:space="0" w:color="auto"/>
              <w:right w:val="single" w:sz="4" w:space="0" w:color="auto"/>
            </w:tcBorders>
            <w:shd w:val="clear" w:color="000000" w:fill="F2F2F2"/>
            <w:noWrap/>
            <w:vAlign w:val="bottom"/>
            <w:hideMark/>
          </w:tcPr>
          <w:p w14:paraId="7B31005D"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55</w:t>
            </w:r>
          </w:p>
        </w:tc>
        <w:tc>
          <w:tcPr>
            <w:tcW w:w="346" w:type="pct"/>
            <w:tcBorders>
              <w:top w:val="nil"/>
              <w:left w:val="nil"/>
              <w:bottom w:val="single" w:sz="4" w:space="0" w:color="auto"/>
              <w:right w:val="single" w:sz="4" w:space="0" w:color="auto"/>
            </w:tcBorders>
            <w:shd w:val="clear" w:color="000000" w:fill="F2F2F2"/>
            <w:noWrap/>
            <w:vAlign w:val="bottom"/>
            <w:hideMark/>
          </w:tcPr>
          <w:p w14:paraId="21E7EE57"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53</w:t>
            </w:r>
          </w:p>
        </w:tc>
        <w:tc>
          <w:tcPr>
            <w:tcW w:w="397" w:type="pct"/>
            <w:tcBorders>
              <w:top w:val="nil"/>
              <w:left w:val="nil"/>
              <w:bottom w:val="single" w:sz="4" w:space="0" w:color="auto"/>
              <w:right w:val="single" w:sz="4" w:space="0" w:color="auto"/>
            </w:tcBorders>
            <w:shd w:val="clear" w:color="000000" w:fill="F2F2F2"/>
            <w:noWrap/>
            <w:vAlign w:val="bottom"/>
            <w:hideMark/>
          </w:tcPr>
          <w:p w14:paraId="59AF5180"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65</w:t>
            </w:r>
          </w:p>
        </w:tc>
        <w:tc>
          <w:tcPr>
            <w:tcW w:w="388" w:type="pct"/>
            <w:tcBorders>
              <w:top w:val="nil"/>
              <w:left w:val="nil"/>
              <w:bottom w:val="single" w:sz="4" w:space="0" w:color="auto"/>
              <w:right w:val="single" w:sz="4" w:space="0" w:color="auto"/>
            </w:tcBorders>
            <w:shd w:val="clear" w:color="000000" w:fill="F2F2F2"/>
            <w:noWrap/>
            <w:vAlign w:val="bottom"/>
            <w:hideMark/>
          </w:tcPr>
          <w:p w14:paraId="35D689CC"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49</w:t>
            </w:r>
          </w:p>
        </w:tc>
        <w:tc>
          <w:tcPr>
            <w:tcW w:w="381" w:type="pct"/>
            <w:tcBorders>
              <w:top w:val="nil"/>
              <w:left w:val="nil"/>
              <w:bottom w:val="single" w:sz="4" w:space="0" w:color="auto"/>
              <w:right w:val="single" w:sz="4" w:space="0" w:color="auto"/>
            </w:tcBorders>
            <w:shd w:val="clear" w:color="000000" w:fill="F2F2F2"/>
            <w:noWrap/>
            <w:vAlign w:val="bottom"/>
            <w:hideMark/>
          </w:tcPr>
          <w:p w14:paraId="027118FA"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60</w:t>
            </w:r>
          </w:p>
        </w:tc>
        <w:tc>
          <w:tcPr>
            <w:tcW w:w="402" w:type="pct"/>
            <w:tcBorders>
              <w:top w:val="nil"/>
              <w:left w:val="nil"/>
              <w:bottom w:val="single" w:sz="4" w:space="0" w:color="auto"/>
              <w:right w:val="single" w:sz="4" w:space="0" w:color="auto"/>
            </w:tcBorders>
            <w:shd w:val="clear" w:color="000000" w:fill="F2F2F2"/>
            <w:noWrap/>
            <w:vAlign w:val="bottom"/>
            <w:hideMark/>
          </w:tcPr>
          <w:p w14:paraId="47D7D555"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64</w:t>
            </w:r>
          </w:p>
        </w:tc>
        <w:tc>
          <w:tcPr>
            <w:tcW w:w="393" w:type="pct"/>
            <w:tcBorders>
              <w:top w:val="nil"/>
              <w:left w:val="nil"/>
              <w:bottom w:val="single" w:sz="4" w:space="0" w:color="auto"/>
              <w:right w:val="single" w:sz="4" w:space="0" w:color="auto"/>
            </w:tcBorders>
            <w:shd w:val="clear" w:color="000000" w:fill="F2F2F2"/>
            <w:noWrap/>
            <w:vAlign w:val="bottom"/>
            <w:hideMark/>
          </w:tcPr>
          <w:p w14:paraId="3E2005A8"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45</w:t>
            </w:r>
          </w:p>
        </w:tc>
        <w:tc>
          <w:tcPr>
            <w:tcW w:w="372" w:type="pct"/>
            <w:tcBorders>
              <w:top w:val="nil"/>
              <w:left w:val="nil"/>
              <w:bottom w:val="single" w:sz="4" w:space="0" w:color="auto"/>
              <w:right w:val="single" w:sz="4" w:space="0" w:color="auto"/>
            </w:tcBorders>
            <w:shd w:val="clear" w:color="000000" w:fill="F2F2F2"/>
            <w:noWrap/>
            <w:vAlign w:val="bottom"/>
            <w:hideMark/>
          </w:tcPr>
          <w:p w14:paraId="6D85DE76"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64</w:t>
            </w:r>
          </w:p>
        </w:tc>
        <w:tc>
          <w:tcPr>
            <w:tcW w:w="388" w:type="pct"/>
            <w:tcBorders>
              <w:top w:val="nil"/>
              <w:left w:val="nil"/>
              <w:bottom w:val="single" w:sz="4" w:space="0" w:color="auto"/>
              <w:right w:val="single" w:sz="4" w:space="0" w:color="auto"/>
            </w:tcBorders>
            <w:shd w:val="clear" w:color="000000" w:fill="F2F2F2"/>
            <w:noWrap/>
            <w:vAlign w:val="bottom"/>
            <w:hideMark/>
          </w:tcPr>
          <w:p w14:paraId="43B44C4E"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57</w:t>
            </w:r>
          </w:p>
        </w:tc>
        <w:tc>
          <w:tcPr>
            <w:tcW w:w="408" w:type="pct"/>
            <w:tcBorders>
              <w:top w:val="nil"/>
              <w:left w:val="nil"/>
              <w:bottom w:val="single" w:sz="4" w:space="0" w:color="auto"/>
              <w:right w:val="single" w:sz="4" w:space="0" w:color="auto"/>
            </w:tcBorders>
            <w:shd w:val="clear" w:color="000000" w:fill="F2F2F2"/>
            <w:noWrap/>
            <w:vAlign w:val="bottom"/>
            <w:hideMark/>
          </w:tcPr>
          <w:p w14:paraId="76E0147D"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62</w:t>
            </w:r>
          </w:p>
        </w:tc>
      </w:tr>
      <w:tr w:rsidR="00EF5787" w:rsidRPr="00EF5787" w14:paraId="7089E365" w14:textId="77777777" w:rsidTr="00C262DB">
        <w:trPr>
          <w:trHeight w:val="288"/>
        </w:trPr>
        <w:tc>
          <w:tcPr>
            <w:tcW w:w="344" w:type="pct"/>
            <w:tcBorders>
              <w:top w:val="nil"/>
              <w:left w:val="single" w:sz="4" w:space="0" w:color="auto"/>
              <w:bottom w:val="single" w:sz="4" w:space="0" w:color="auto"/>
              <w:right w:val="single" w:sz="4" w:space="0" w:color="auto"/>
            </w:tcBorders>
            <w:shd w:val="clear" w:color="000000" w:fill="92D050"/>
            <w:noWrap/>
            <w:vAlign w:val="bottom"/>
            <w:hideMark/>
          </w:tcPr>
          <w:p w14:paraId="5BAB2128" w14:textId="77777777" w:rsidR="00EF5787" w:rsidRPr="00EF5787" w:rsidRDefault="00EF5787" w:rsidP="00EF5787">
            <w:pPr>
              <w:spacing w:after="0"/>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THH</w:t>
            </w:r>
          </w:p>
        </w:tc>
        <w:tc>
          <w:tcPr>
            <w:tcW w:w="385" w:type="pct"/>
            <w:tcBorders>
              <w:top w:val="nil"/>
              <w:left w:val="nil"/>
              <w:bottom w:val="single" w:sz="4" w:space="0" w:color="auto"/>
              <w:right w:val="single" w:sz="4" w:space="0" w:color="auto"/>
            </w:tcBorders>
            <w:shd w:val="clear" w:color="000000" w:fill="F2F2F2"/>
            <w:noWrap/>
            <w:vAlign w:val="bottom"/>
            <w:hideMark/>
          </w:tcPr>
          <w:p w14:paraId="4F23F25E"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109</w:t>
            </w:r>
          </w:p>
        </w:tc>
        <w:tc>
          <w:tcPr>
            <w:tcW w:w="419" w:type="pct"/>
            <w:tcBorders>
              <w:top w:val="nil"/>
              <w:left w:val="nil"/>
              <w:bottom w:val="single" w:sz="4" w:space="0" w:color="auto"/>
              <w:right w:val="single" w:sz="4" w:space="0" w:color="auto"/>
            </w:tcBorders>
            <w:shd w:val="clear" w:color="000000" w:fill="F2F2F2"/>
            <w:noWrap/>
            <w:vAlign w:val="bottom"/>
            <w:hideMark/>
          </w:tcPr>
          <w:p w14:paraId="3115DD23"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107</w:t>
            </w:r>
          </w:p>
        </w:tc>
        <w:tc>
          <w:tcPr>
            <w:tcW w:w="376" w:type="pct"/>
            <w:tcBorders>
              <w:top w:val="nil"/>
              <w:left w:val="nil"/>
              <w:bottom w:val="single" w:sz="4" w:space="0" w:color="auto"/>
              <w:right w:val="single" w:sz="4" w:space="0" w:color="auto"/>
            </w:tcBorders>
            <w:shd w:val="clear" w:color="000000" w:fill="F2F2F2"/>
            <w:noWrap/>
            <w:vAlign w:val="bottom"/>
            <w:hideMark/>
          </w:tcPr>
          <w:p w14:paraId="2ED14B27"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104</w:t>
            </w:r>
          </w:p>
        </w:tc>
        <w:tc>
          <w:tcPr>
            <w:tcW w:w="346" w:type="pct"/>
            <w:tcBorders>
              <w:top w:val="nil"/>
              <w:left w:val="nil"/>
              <w:bottom w:val="single" w:sz="4" w:space="0" w:color="auto"/>
              <w:right w:val="single" w:sz="4" w:space="0" w:color="auto"/>
            </w:tcBorders>
            <w:shd w:val="clear" w:color="000000" w:fill="F2F2F2"/>
            <w:noWrap/>
            <w:vAlign w:val="bottom"/>
            <w:hideMark/>
          </w:tcPr>
          <w:p w14:paraId="2E3CDCED"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101</w:t>
            </w:r>
          </w:p>
        </w:tc>
        <w:tc>
          <w:tcPr>
            <w:tcW w:w="397" w:type="pct"/>
            <w:tcBorders>
              <w:top w:val="nil"/>
              <w:left w:val="nil"/>
              <w:bottom w:val="single" w:sz="4" w:space="0" w:color="auto"/>
              <w:right w:val="single" w:sz="4" w:space="0" w:color="auto"/>
            </w:tcBorders>
            <w:shd w:val="clear" w:color="000000" w:fill="F2F2F2"/>
            <w:noWrap/>
            <w:vAlign w:val="bottom"/>
            <w:hideMark/>
          </w:tcPr>
          <w:p w14:paraId="6FF44E0E"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118</w:t>
            </w:r>
          </w:p>
        </w:tc>
        <w:tc>
          <w:tcPr>
            <w:tcW w:w="388" w:type="pct"/>
            <w:tcBorders>
              <w:top w:val="nil"/>
              <w:left w:val="nil"/>
              <w:bottom w:val="single" w:sz="4" w:space="0" w:color="auto"/>
              <w:right w:val="single" w:sz="4" w:space="0" w:color="auto"/>
            </w:tcBorders>
            <w:shd w:val="clear" w:color="000000" w:fill="F2F2F2"/>
            <w:noWrap/>
            <w:vAlign w:val="bottom"/>
            <w:hideMark/>
          </w:tcPr>
          <w:p w14:paraId="0A6366C0"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96</w:t>
            </w:r>
          </w:p>
        </w:tc>
        <w:tc>
          <w:tcPr>
            <w:tcW w:w="381" w:type="pct"/>
            <w:tcBorders>
              <w:top w:val="nil"/>
              <w:left w:val="nil"/>
              <w:bottom w:val="single" w:sz="4" w:space="0" w:color="auto"/>
              <w:right w:val="single" w:sz="4" w:space="0" w:color="auto"/>
            </w:tcBorders>
            <w:shd w:val="clear" w:color="000000" w:fill="F2F2F2"/>
            <w:noWrap/>
            <w:vAlign w:val="bottom"/>
            <w:hideMark/>
          </w:tcPr>
          <w:p w14:paraId="22698A60"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98</w:t>
            </w:r>
          </w:p>
        </w:tc>
        <w:tc>
          <w:tcPr>
            <w:tcW w:w="402" w:type="pct"/>
            <w:tcBorders>
              <w:top w:val="nil"/>
              <w:left w:val="nil"/>
              <w:bottom w:val="single" w:sz="4" w:space="0" w:color="auto"/>
              <w:right w:val="single" w:sz="4" w:space="0" w:color="auto"/>
            </w:tcBorders>
            <w:shd w:val="clear" w:color="000000" w:fill="F2F2F2"/>
            <w:noWrap/>
            <w:vAlign w:val="bottom"/>
            <w:hideMark/>
          </w:tcPr>
          <w:p w14:paraId="45EE484F"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27</w:t>
            </w:r>
          </w:p>
        </w:tc>
        <w:tc>
          <w:tcPr>
            <w:tcW w:w="393" w:type="pct"/>
            <w:tcBorders>
              <w:top w:val="nil"/>
              <w:left w:val="nil"/>
              <w:bottom w:val="single" w:sz="4" w:space="0" w:color="auto"/>
              <w:right w:val="single" w:sz="4" w:space="0" w:color="auto"/>
            </w:tcBorders>
            <w:shd w:val="clear" w:color="000000" w:fill="F2F2F2"/>
            <w:noWrap/>
            <w:vAlign w:val="bottom"/>
            <w:hideMark/>
          </w:tcPr>
          <w:p w14:paraId="6158EAD2"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1</w:t>
            </w:r>
          </w:p>
        </w:tc>
        <w:tc>
          <w:tcPr>
            <w:tcW w:w="372" w:type="pct"/>
            <w:tcBorders>
              <w:top w:val="nil"/>
              <w:left w:val="nil"/>
              <w:bottom w:val="single" w:sz="4" w:space="0" w:color="auto"/>
              <w:right w:val="single" w:sz="4" w:space="0" w:color="auto"/>
            </w:tcBorders>
            <w:shd w:val="clear" w:color="000000" w:fill="F2F2F2"/>
            <w:noWrap/>
            <w:vAlign w:val="bottom"/>
            <w:hideMark/>
          </w:tcPr>
          <w:p w14:paraId="2B355840"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1</w:t>
            </w:r>
          </w:p>
        </w:tc>
        <w:tc>
          <w:tcPr>
            <w:tcW w:w="388" w:type="pct"/>
            <w:tcBorders>
              <w:top w:val="nil"/>
              <w:left w:val="nil"/>
              <w:bottom w:val="single" w:sz="4" w:space="0" w:color="auto"/>
              <w:right w:val="single" w:sz="4" w:space="0" w:color="auto"/>
            </w:tcBorders>
            <w:shd w:val="clear" w:color="000000" w:fill="F2F2F2"/>
            <w:noWrap/>
            <w:vAlign w:val="bottom"/>
            <w:hideMark/>
          </w:tcPr>
          <w:p w14:paraId="3887608C"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37</w:t>
            </w:r>
          </w:p>
        </w:tc>
        <w:tc>
          <w:tcPr>
            <w:tcW w:w="408" w:type="pct"/>
            <w:tcBorders>
              <w:top w:val="nil"/>
              <w:left w:val="nil"/>
              <w:bottom w:val="single" w:sz="4" w:space="0" w:color="auto"/>
              <w:right w:val="single" w:sz="4" w:space="0" w:color="auto"/>
            </w:tcBorders>
            <w:shd w:val="clear" w:color="000000" w:fill="F2F2F2"/>
            <w:noWrap/>
            <w:vAlign w:val="bottom"/>
            <w:hideMark/>
          </w:tcPr>
          <w:p w14:paraId="3C8FB7C5"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72</w:t>
            </w:r>
          </w:p>
        </w:tc>
      </w:tr>
    </w:tbl>
    <w:p w14:paraId="3E3431EE" w14:textId="77777777" w:rsidR="00EF5787" w:rsidRDefault="00EF5787" w:rsidP="00CA5A3B">
      <w:pPr>
        <w:spacing w:after="200" w:line="276" w:lineRule="auto"/>
        <w:rPr>
          <w:rFonts w:cs="Arial"/>
          <w:sz w:val="22"/>
          <w:szCs w:val="22"/>
        </w:rPr>
      </w:pPr>
    </w:p>
    <w:p w14:paraId="16E58A80" w14:textId="39925784" w:rsidR="00EC3951" w:rsidRDefault="00EC3951" w:rsidP="00CA5A3B">
      <w:pPr>
        <w:spacing w:after="200" w:line="276" w:lineRule="auto"/>
        <w:rPr>
          <w:rFonts w:cs="Arial"/>
          <w:sz w:val="22"/>
          <w:szCs w:val="22"/>
          <w:u w:val="single"/>
        </w:rPr>
      </w:pPr>
      <w:r>
        <w:rPr>
          <w:rFonts w:cs="Arial"/>
          <w:sz w:val="22"/>
          <w:szCs w:val="22"/>
        </w:rPr>
        <w:t xml:space="preserve">CWFT have an equal share of responses to the antenatal FFT when compared across the NWL APC however the women accessing care at the trust report a worsening experience than those who access antenatal at the other NWL trusts. </w:t>
      </w:r>
    </w:p>
    <w:p w14:paraId="3159D6DD" w14:textId="2564A1FC" w:rsidR="00CA5A3B" w:rsidRDefault="00CA5A3B" w:rsidP="00CA5A3B">
      <w:pPr>
        <w:spacing w:after="200" w:line="276" w:lineRule="auto"/>
        <w:rPr>
          <w:rFonts w:cs="Arial"/>
          <w:sz w:val="22"/>
          <w:szCs w:val="22"/>
          <w:u w:val="single"/>
        </w:rPr>
      </w:pPr>
      <w:r w:rsidRPr="00386EA6">
        <w:rPr>
          <w:rFonts w:cs="Arial"/>
          <w:sz w:val="22"/>
          <w:szCs w:val="22"/>
          <w:u w:val="single"/>
        </w:rPr>
        <w:t>Maternity</w:t>
      </w:r>
      <w:r>
        <w:rPr>
          <w:rFonts w:cs="Arial"/>
          <w:sz w:val="22"/>
          <w:szCs w:val="22"/>
          <w:u w:val="single"/>
        </w:rPr>
        <w:t xml:space="preserve"> (birth/labour)</w:t>
      </w:r>
    </w:p>
    <w:p w14:paraId="29F7CFC1" w14:textId="5BA71FBA" w:rsidR="00EC3951" w:rsidRDefault="00CA5A3B" w:rsidP="00CA5A3B">
      <w:pPr>
        <w:spacing w:after="200" w:line="276" w:lineRule="auto"/>
        <w:rPr>
          <w:rFonts w:cs="Arial"/>
          <w:sz w:val="22"/>
          <w:szCs w:val="22"/>
        </w:rPr>
      </w:pPr>
      <w:r>
        <w:rPr>
          <w:rFonts w:cs="Arial"/>
          <w:sz w:val="22"/>
          <w:szCs w:val="22"/>
        </w:rPr>
        <w:t>Figure 9: Maternity (birth) FFT satisfaction % comparison CWFT, NWL and National</w:t>
      </w:r>
    </w:p>
    <w:p w14:paraId="0000D46E" w14:textId="06AAFF5D" w:rsidR="00EC3951" w:rsidRPr="00CA5A3B" w:rsidRDefault="00EF5787" w:rsidP="00CA5A3B">
      <w:pPr>
        <w:spacing w:after="200" w:line="276" w:lineRule="auto"/>
        <w:rPr>
          <w:rFonts w:cs="Arial"/>
          <w:sz w:val="22"/>
          <w:szCs w:val="22"/>
        </w:rPr>
      </w:pPr>
      <w:r>
        <w:rPr>
          <w:noProof/>
          <w:lang w:eastAsia="en-GB"/>
        </w:rPr>
        <w:drawing>
          <wp:inline distT="0" distB="0" distL="0" distR="0" wp14:anchorId="04FAD78E" wp14:editId="26068AFB">
            <wp:extent cx="6120130" cy="3177540"/>
            <wp:effectExtent l="0" t="0" r="13970" b="381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D80BD92" w14:textId="452B12E4" w:rsidR="00CA5A3B" w:rsidRDefault="00CA5A3B" w:rsidP="00CA5A3B">
      <w:pPr>
        <w:spacing w:after="200" w:line="276" w:lineRule="auto"/>
        <w:rPr>
          <w:rFonts w:cs="Arial"/>
          <w:noProof/>
          <w:sz w:val="22"/>
          <w:szCs w:val="22"/>
          <w:lang w:eastAsia="en-GB"/>
        </w:rPr>
      </w:pPr>
      <w:r>
        <w:rPr>
          <w:rFonts w:cs="Arial"/>
          <w:noProof/>
          <w:sz w:val="22"/>
          <w:szCs w:val="22"/>
          <w:lang w:eastAsia="en-GB"/>
        </w:rPr>
        <w:t>Figure 10: Maternity (birth) FFT total responses comparison CWFT, NWL and National</w:t>
      </w:r>
    </w:p>
    <w:tbl>
      <w:tblPr>
        <w:tblW w:w="5576" w:type="pct"/>
        <w:tblInd w:w="-289" w:type="dxa"/>
        <w:tblLook w:val="04A0" w:firstRow="1" w:lastRow="0" w:firstColumn="1" w:lastColumn="0" w:noHBand="0" w:noVBand="1"/>
      </w:tblPr>
      <w:tblGrid>
        <w:gridCol w:w="738"/>
        <w:gridCol w:w="826"/>
        <w:gridCol w:w="900"/>
        <w:gridCol w:w="808"/>
        <w:gridCol w:w="743"/>
        <w:gridCol w:w="853"/>
        <w:gridCol w:w="833"/>
        <w:gridCol w:w="819"/>
        <w:gridCol w:w="864"/>
        <w:gridCol w:w="845"/>
        <w:gridCol w:w="798"/>
        <w:gridCol w:w="833"/>
        <w:gridCol w:w="877"/>
      </w:tblGrid>
      <w:tr w:rsidR="00EF5787" w:rsidRPr="00EF5787" w14:paraId="3D438923" w14:textId="77777777" w:rsidTr="00C262DB">
        <w:trPr>
          <w:trHeight w:val="282"/>
        </w:trPr>
        <w:tc>
          <w:tcPr>
            <w:tcW w:w="5000" w:type="pct"/>
            <w:gridSpan w:val="13"/>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B739C65" w14:textId="77777777" w:rsidR="00EF5787" w:rsidRPr="00EF5787" w:rsidRDefault="00EF5787" w:rsidP="00EF5787">
            <w:pPr>
              <w:spacing w:after="0"/>
              <w:jc w:val="center"/>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Birth Response Total</w:t>
            </w:r>
          </w:p>
        </w:tc>
      </w:tr>
      <w:tr w:rsidR="00EF5787" w:rsidRPr="00EF5787" w14:paraId="2134F6B7" w14:textId="77777777" w:rsidTr="00C262DB">
        <w:trPr>
          <w:trHeight w:val="282"/>
        </w:trPr>
        <w:tc>
          <w:tcPr>
            <w:tcW w:w="344" w:type="pct"/>
            <w:tcBorders>
              <w:top w:val="nil"/>
              <w:left w:val="single" w:sz="4" w:space="0" w:color="auto"/>
              <w:bottom w:val="single" w:sz="4" w:space="0" w:color="auto"/>
              <w:right w:val="single" w:sz="4" w:space="0" w:color="auto"/>
            </w:tcBorders>
            <w:shd w:val="clear" w:color="000000" w:fill="92D050"/>
            <w:noWrap/>
            <w:vAlign w:val="bottom"/>
            <w:hideMark/>
          </w:tcPr>
          <w:p w14:paraId="62F0D144" w14:textId="77777777" w:rsidR="00EF5787" w:rsidRPr="00EF5787" w:rsidRDefault="00EF5787" w:rsidP="00EF5787">
            <w:pPr>
              <w:spacing w:after="0"/>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 </w:t>
            </w:r>
          </w:p>
        </w:tc>
        <w:tc>
          <w:tcPr>
            <w:tcW w:w="385" w:type="pct"/>
            <w:tcBorders>
              <w:top w:val="nil"/>
              <w:left w:val="nil"/>
              <w:bottom w:val="single" w:sz="4" w:space="0" w:color="auto"/>
              <w:right w:val="single" w:sz="4" w:space="0" w:color="auto"/>
            </w:tcBorders>
            <w:shd w:val="clear" w:color="000000" w:fill="92D050"/>
            <w:noWrap/>
            <w:vAlign w:val="bottom"/>
            <w:hideMark/>
          </w:tcPr>
          <w:p w14:paraId="4B98F778"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Apr-23</w:t>
            </w:r>
          </w:p>
        </w:tc>
        <w:tc>
          <w:tcPr>
            <w:tcW w:w="419" w:type="pct"/>
            <w:tcBorders>
              <w:top w:val="nil"/>
              <w:left w:val="nil"/>
              <w:bottom w:val="single" w:sz="4" w:space="0" w:color="auto"/>
              <w:right w:val="single" w:sz="4" w:space="0" w:color="auto"/>
            </w:tcBorders>
            <w:shd w:val="clear" w:color="000000" w:fill="92D050"/>
            <w:noWrap/>
            <w:vAlign w:val="bottom"/>
            <w:hideMark/>
          </w:tcPr>
          <w:p w14:paraId="465A814C"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May-23</w:t>
            </w:r>
          </w:p>
        </w:tc>
        <w:tc>
          <w:tcPr>
            <w:tcW w:w="376" w:type="pct"/>
            <w:tcBorders>
              <w:top w:val="nil"/>
              <w:left w:val="nil"/>
              <w:bottom w:val="single" w:sz="4" w:space="0" w:color="auto"/>
              <w:right w:val="single" w:sz="4" w:space="0" w:color="auto"/>
            </w:tcBorders>
            <w:shd w:val="clear" w:color="000000" w:fill="92D050"/>
            <w:noWrap/>
            <w:vAlign w:val="bottom"/>
            <w:hideMark/>
          </w:tcPr>
          <w:p w14:paraId="191F1E1F"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Jun-23</w:t>
            </w:r>
          </w:p>
        </w:tc>
        <w:tc>
          <w:tcPr>
            <w:tcW w:w="346" w:type="pct"/>
            <w:tcBorders>
              <w:top w:val="nil"/>
              <w:left w:val="nil"/>
              <w:bottom w:val="single" w:sz="4" w:space="0" w:color="auto"/>
              <w:right w:val="single" w:sz="4" w:space="0" w:color="auto"/>
            </w:tcBorders>
            <w:shd w:val="clear" w:color="000000" w:fill="92D050"/>
            <w:noWrap/>
            <w:vAlign w:val="bottom"/>
            <w:hideMark/>
          </w:tcPr>
          <w:p w14:paraId="59D3591C"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Jul-23</w:t>
            </w:r>
          </w:p>
        </w:tc>
        <w:tc>
          <w:tcPr>
            <w:tcW w:w="397" w:type="pct"/>
            <w:tcBorders>
              <w:top w:val="nil"/>
              <w:left w:val="nil"/>
              <w:bottom w:val="single" w:sz="4" w:space="0" w:color="auto"/>
              <w:right w:val="single" w:sz="4" w:space="0" w:color="auto"/>
            </w:tcBorders>
            <w:shd w:val="clear" w:color="000000" w:fill="92D050"/>
            <w:noWrap/>
            <w:vAlign w:val="bottom"/>
            <w:hideMark/>
          </w:tcPr>
          <w:p w14:paraId="1C0E7CD0"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Aug-23</w:t>
            </w:r>
          </w:p>
        </w:tc>
        <w:tc>
          <w:tcPr>
            <w:tcW w:w="388" w:type="pct"/>
            <w:tcBorders>
              <w:top w:val="nil"/>
              <w:left w:val="nil"/>
              <w:bottom w:val="single" w:sz="4" w:space="0" w:color="auto"/>
              <w:right w:val="single" w:sz="4" w:space="0" w:color="auto"/>
            </w:tcBorders>
            <w:shd w:val="clear" w:color="000000" w:fill="92D050"/>
            <w:noWrap/>
            <w:vAlign w:val="bottom"/>
            <w:hideMark/>
          </w:tcPr>
          <w:p w14:paraId="72D6F1C7"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Sep-23</w:t>
            </w:r>
          </w:p>
        </w:tc>
        <w:tc>
          <w:tcPr>
            <w:tcW w:w="381" w:type="pct"/>
            <w:tcBorders>
              <w:top w:val="nil"/>
              <w:left w:val="nil"/>
              <w:bottom w:val="single" w:sz="4" w:space="0" w:color="auto"/>
              <w:right w:val="single" w:sz="4" w:space="0" w:color="auto"/>
            </w:tcBorders>
            <w:shd w:val="clear" w:color="000000" w:fill="92D050"/>
            <w:noWrap/>
            <w:vAlign w:val="bottom"/>
            <w:hideMark/>
          </w:tcPr>
          <w:p w14:paraId="3B0664AA"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Oct-23</w:t>
            </w:r>
          </w:p>
        </w:tc>
        <w:tc>
          <w:tcPr>
            <w:tcW w:w="402" w:type="pct"/>
            <w:tcBorders>
              <w:top w:val="nil"/>
              <w:left w:val="nil"/>
              <w:bottom w:val="single" w:sz="4" w:space="0" w:color="auto"/>
              <w:right w:val="single" w:sz="4" w:space="0" w:color="auto"/>
            </w:tcBorders>
            <w:shd w:val="clear" w:color="000000" w:fill="92D050"/>
            <w:noWrap/>
            <w:vAlign w:val="bottom"/>
            <w:hideMark/>
          </w:tcPr>
          <w:p w14:paraId="7F50B3E2"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Nov-23</w:t>
            </w:r>
          </w:p>
        </w:tc>
        <w:tc>
          <w:tcPr>
            <w:tcW w:w="393" w:type="pct"/>
            <w:tcBorders>
              <w:top w:val="nil"/>
              <w:left w:val="nil"/>
              <w:bottom w:val="single" w:sz="4" w:space="0" w:color="auto"/>
              <w:right w:val="single" w:sz="4" w:space="0" w:color="auto"/>
            </w:tcBorders>
            <w:shd w:val="clear" w:color="000000" w:fill="92D050"/>
            <w:noWrap/>
            <w:vAlign w:val="bottom"/>
            <w:hideMark/>
          </w:tcPr>
          <w:p w14:paraId="5611D50B"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Dec-23</w:t>
            </w:r>
          </w:p>
        </w:tc>
        <w:tc>
          <w:tcPr>
            <w:tcW w:w="372" w:type="pct"/>
            <w:tcBorders>
              <w:top w:val="nil"/>
              <w:left w:val="nil"/>
              <w:bottom w:val="single" w:sz="4" w:space="0" w:color="auto"/>
              <w:right w:val="single" w:sz="4" w:space="0" w:color="auto"/>
            </w:tcBorders>
            <w:shd w:val="clear" w:color="000000" w:fill="92D050"/>
            <w:noWrap/>
            <w:vAlign w:val="bottom"/>
            <w:hideMark/>
          </w:tcPr>
          <w:p w14:paraId="0526EF3A"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Jan-24</w:t>
            </w:r>
          </w:p>
        </w:tc>
        <w:tc>
          <w:tcPr>
            <w:tcW w:w="388" w:type="pct"/>
            <w:tcBorders>
              <w:top w:val="nil"/>
              <w:left w:val="nil"/>
              <w:bottom w:val="single" w:sz="4" w:space="0" w:color="auto"/>
              <w:right w:val="single" w:sz="4" w:space="0" w:color="auto"/>
            </w:tcBorders>
            <w:shd w:val="clear" w:color="000000" w:fill="92D050"/>
            <w:noWrap/>
            <w:vAlign w:val="bottom"/>
            <w:hideMark/>
          </w:tcPr>
          <w:p w14:paraId="41B42A95"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Feb-24</w:t>
            </w:r>
          </w:p>
        </w:tc>
        <w:tc>
          <w:tcPr>
            <w:tcW w:w="408" w:type="pct"/>
            <w:tcBorders>
              <w:top w:val="nil"/>
              <w:left w:val="nil"/>
              <w:bottom w:val="single" w:sz="4" w:space="0" w:color="auto"/>
              <w:right w:val="single" w:sz="4" w:space="0" w:color="auto"/>
            </w:tcBorders>
            <w:shd w:val="clear" w:color="000000" w:fill="92D050"/>
            <w:noWrap/>
            <w:vAlign w:val="bottom"/>
            <w:hideMark/>
          </w:tcPr>
          <w:p w14:paraId="37D27DE8"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Mar-24</w:t>
            </w:r>
          </w:p>
        </w:tc>
      </w:tr>
      <w:tr w:rsidR="00EF5787" w:rsidRPr="00EF5787" w14:paraId="0FF54731" w14:textId="77777777" w:rsidTr="00C262DB">
        <w:trPr>
          <w:trHeight w:val="282"/>
        </w:trPr>
        <w:tc>
          <w:tcPr>
            <w:tcW w:w="344" w:type="pct"/>
            <w:tcBorders>
              <w:top w:val="nil"/>
              <w:left w:val="single" w:sz="4" w:space="0" w:color="auto"/>
              <w:bottom w:val="single" w:sz="4" w:space="0" w:color="auto"/>
              <w:right w:val="single" w:sz="4" w:space="0" w:color="auto"/>
            </w:tcBorders>
            <w:shd w:val="clear" w:color="000000" w:fill="92D050"/>
            <w:noWrap/>
            <w:vAlign w:val="bottom"/>
            <w:hideMark/>
          </w:tcPr>
          <w:p w14:paraId="07E97E42" w14:textId="77777777" w:rsidR="00EF5787" w:rsidRPr="00EF5787" w:rsidRDefault="00EF5787" w:rsidP="00EF5787">
            <w:pPr>
              <w:spacing w:after="0"/>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CWFT</w:t>
            </w:r>
          </w:p>
        </w:tc>
        <w:tc>
          <w:tcPr>
            <w:tcW w:w="385" w:type="pct"/>
            <w:tcBorders>
              <w:top w:val="nil"/>
              <w:left w:val="nil"/>
              <w:bottom w:val="single" w:sz="4" w:space="0" w:color="auto"/>
              <w:right w:val="single" w:sz="4" w:space="0" w:color="auto"/>
            </w:tcBorders>
            <w:shd w:val="clear" w:color="000000" w:fill="F2F2F2"/>
            <w:noWrap/>
            <w:vAlign w:val="bottom"/>
            <w:hideMark/>
          </w:tcPr>
          <w:p w14:paraId="239D7129"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57</w:t>
            </w:r>
          </w:p>
        </w:tc>
        <w:tc>
          <w:tcPr>
            <w:tcW w:w="419" w:type="pct"/>
            <w:tcBorders>
              <w:top w:val="nil"/>
              <w:left w:val="nil"/>
              <w:bottom w:val="single" w:sz="4" w:space="0" w:color="auto"/>
              <w:right w:val="single" w:sz="4" w:space="0" w:color="auto"/>
            </w:tcBorders>
            <w:shd w:val="clear" w:color="000000" w:fill="F2F2F2"/>
            <w:noWrap/>
            <w:vAlign w:val="bottom"/>
            <w:hideMark/>
          </w:tcPr>
          <w:p w14:paraId="6A0AFACC"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55</w:t>
            </w:r>
          </w:p>
        </w:tc>
        <w:tc>
          <w:tcPr>
            <w:tcW w:w="376" w:type="pct"/>
            <w:tcBorders>
              <w:top w:val="nil"/>
              <w:left w:val="nil"/>
              <w:bottom w:val="single" w:sz="4" w:space="0" w:color="auto"/>
              <w:right w:val="single" w:sz="4" w:space="0" w:color="auto"/>
            </w:tcBorders>
            <w:shd w:val="clear" w:color="000000" w:fill="F2F2F2"/>
            <w:noWrap/>
            <w:vAlign w:val="bottom"/>
            <w:hideMark/>
          </w:tcPr>
          <w:p w14:paraId="42445A32"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50</w:t>
            </w:r>
          </w:p>
        </w:tc>
        <w:tc>
          <w:tcPr>
            <w:tcW w:w="346" w:type="pct"/>
            <w:tcBorders>
              <w:top w:val="nil"/>
              <w:left w:val="nil"/>
              <w:bottom w:val="single" w:sz="4" w:space="0" w:color="auto"/>
              <w:right w:val="single" w:sz="4" w:space="0" w:color="auto"/>
            </w:tcBorders>
            <w:shd w:val="clear" w:color="000000" w:fill="F2F2F2"/>
            <w:noWrap/>
            <w:vAlign w:val="bottom"/>
            <w:hideMark/>
          </w:tcPr>
          <w:p w14:paraId="53451431"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64</w:t>
            </w:r>
          </w:p>
        </w:tc>
        <w:tc>
          <w:tcPr>
            <w:tcW w:w="397" w:type="pct"/>
            <w:tcBorders>
              <w:top w:val="nil"/>
              <w:left w:val="nil"/>
              <w:bottom w:val="single" w:sz="4" w:space="0" w:color="auto"/>
              <w:right w:val="single" w:sz="4" w:space="0" w:color="auto"/>
            </w:tcBorders>
            <w:shd w:val="clear" w:color="000000" w:fill="F2F2F2"/>
            <w:noWrap/>
            <w:vAlign w:val="bottom"/>
            <w:hideMark/>
          </w:tcPr>
          <w:p w14:paraId="1C248873"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52</w:t>
            </w:r>
          </w:p>
        </w:tc>
        <w:tc>
          <w:tcPr>
            <w:tcW w:w="388" w:type="pct"/>
            <w:tcBorders>
              <w:top w:val="nil"/>
              <w:left w:val="nil"/>
              <w:bottom w:val="single" w:sz="4" w:space="0" w:color="auto"/>
              <w:right w:val="single" w:sz="4" w:space="0" w:color="auto"/>
            </w:tcBorders>
            <w:shd w:val="clear" w:color="000000" w:fill="F2F2F2"/>
            <w:noWrap/>
            <w:vAlign w:val="bottom"/>
            <w:hideMark/>
          </w:tcPr>
          <w:p w14:paraId="409365CA"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91</w:t>
            </w:r>
          </w:p>
        </w:tc>
        <w:tc>
          <w:tcPr>
            <w:tcW w:w="381" w:type="pct"/>
            <w:tcBorders>
              <w:top w:val="nil"/>
              <w:left w:val="nil"/>
              <w:bottom w:val="single" w:sz="4" w:space="0" w:color="auto"/>
              <w:right w:val="single" w:sz="4" w:space="0" w:color="auto"/>
            </w:tcBorders>
            <w:shd w:val="clear" w:color="000000" w:fill="F2F2F2"/>
            <w:noWrap/>
            <w:vAlign w:val="bottom"/>
            <w:hideMark/>
          </w:tcPr>
          <w:p w14:paraId="71B4D131"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55</w:t>
            </w:r>
          </w:p>
        </w:tc>
        <w:tc>
          <w:tcPr>
            <w:tcW w:w="402" w:type="pct"/>
            <w:tcBorders>
              <w:top w:val="nil"/>
              <w:left w:val="nil"/>
              <w:bottom w:val="single" w:sz="4" w:space="0" w:color="auto"/>
              <w:right w:val="single" w:sz="4" w:space="0" w:color="auto"/>
            </w:tcBorders>
            <w:shd w:val="clear" w:color="000000" w:fill="F2F2F2"/>
            <w:noWrap/>
            <w:vAlign w:val="bottom"/>
            <w:hideMark/>
          </w:tcPr>
          <w:p w14:paraId="40CA4AB3"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39</w:t>
            </w:r>
          </w:p>
        </w:tc>
        <w:tc>
          <w:tcPr>
            <w:tcW w:w="393" w:type="pct"/>
            <w:tcBorders>
              <w:top w:val="nil"/>
              <w:left w:val="nil"/>
              <w:bottom w:val="single" w:sz="4" w:space="0" w:color="auto"/>
              <w:right w:val="single" w:sz="4" w:space="0" w:color="auto"/>
            </w:tcBorders>
            <w:shd w:val="clear" w:color="000000" w:fill="F2F2F2"/>
            <w:noWrap/>
            <w:vAlign w:val="bottom"/>
            <w:hideMark/>
          </w:tcPr>
          <w:p w14:paraId="2BA07F48"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47</w:t>
            </w:r>
          </w:p>
        </w:tc>
        <w:tc>
          <w:tcPr>
            <w:tcW w:w="372" w:type="pct"/>
            <w:tcBorders>
              <w:top w:val="nil"/>
              <w:left w:val="nil"/>
              <w:bottom w:val="single" w:sz="4" w:space="0" w:color="auto"/>
              <w:right w:val="single" w:sz="4" w:space="0" w:color="auto"/>
            </w:tcBorders>
            <w:shd w:val="clear" w:color="000000" w:fill="F2F2F2"/>
            <w:noWrap/>
            <w:vAlign w:val="bottom"/>
            <w:hideMark/>
          </w:tcPr>
          <w:p w14:paraId="473FC738"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54</w:t>
            </w:r>
          </w:p>
        </w:tc>
        <w:tc>
          <w:tcPr>
            <w:tcW w:w="388" w:type="pct"/>
            <w:tcBorders>
              <w:top w:val="nil"/>
              <w:left w:val="nil"/>
              <w:bottom w:val="single" w:sz="4" w:space="0" w:color="auto"/>
              <w:right w:val="single" w:sz="4" w:space="0" w:color="auto"/>
            </w:tcBorders>
            <w:shd w:val="clear" w:color="000000" w:fill="F2F2F2"/>
            <w:noWrap/>
            <w:vAlign w:val="bottom"/>
            <w:hideMark/>
          </w:tcPr>
          <w:p w14:paraId="74CA95EB"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58</w:t>
            </w:r>
          </w:p>
        </w:tc>
        <w:tc>
          <w:tcPr>
            <w:tcW w:w="408" w:type="pct"/>
            <w:tcBorders>
              <w:top w:val="nil"/>
              <w:left w:val="nil"/>
              <w:bottom w:val="single" w:sz="4" w:space="0" w:color="auto"/>
              <w:right w:val="single" w:sz="4" w:space="0" w:color="auto"/>
            </w:tcBorders>
            <w:shd w:val="clear" w:color="000000" w:fill="F2F2F2"/>
            <w:noWrap/>
            <w:vAlign w:val="bottom"/>
            <w:hideMark/>
          </w:tcPr>
          <w:p w14:paraId="1AE64BC3"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52</w:t>
            </w:r>
          </w:p>
        </w:tc>
      </w:tr>
      <w:tr w:rsidR="00EF5787" w:rsidRPr="00EF5787" w14:paraId="71E5760A" w14:textId="77777777" w:rsidTr="00C262DB">
        <w:trPr>
          <w:trHeight w:val="282"/>
        </w:trPr>
        <w:tc>
          <w:tcPr>
            <w:tcW w:w="344" w:type="pct"/>
            <w:tcBorders>
              <w:top w:val="nil"/>
              <w:left w:val="single" w:sz="4" w:space="0" w:color="auto"/>
              <w:bottom w:val="single" w:sz="4" w:space="0" w:color="auto"/>
              <w:right w:val="single" w:sz="4" w:space="0" w:color="auto"/>
            </w:tcBorders>
            <w:shd w:val="clear" w:color="000000" w:fill="92D050"/>
            <w:noWrap/>
            <w:vAlign w:val="bottom"/>
            <w:hideMark/>
          </w:tcPr>
          <w:p w14:paraId="4FB8E3FD" w14:textId="77777777" w:rsidR="00EF5787" w:rsidRPr="00EF5787" w:rsidRDefault="00EF5787" w:rsidP="00EF5787">
            <w:pPr>
              <w:spacing w:after="0"/>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LNW</w:t>
            </w:r>
          </w:p>
        </w:tc>
        <w:tc>
          <w:tcPr>
            <w:tcW w:w="385" w:type="pct"/>
            <w:tcBorders>
              <w:top w:val="nil"/>
              <w:left w:val="nil"/>
              <w:bottom w:val="single" w:sz="4" w:space="0" w:color="auto"/>
              <w:right w:val="single" w:sz="4" w:space="0" w:color="auto"/>
            </w:tcBorders>
            <w:shd w:val="clear" w:color="000000" w:fill="F2F2F2"/>
            <w:noWrap/>
            <w:vAlign w:val="bottom"/>
            <w:hideMark/>
          </w:tcPr>
          <w:p w14:paraId="030F3BCD"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76</w:t>
            </w:r>
          </w:p>
        </w:tc>
        <w:tc>
          <w:tcPr>
            <w:tcW w:w="419" w:type="pct"/>
            <w:tcBorders>
              <w:top w:val="nil"/>
              <w:left w:val="nil"/>
              <w:bottom w:val="single" w:sz="4" w:space="0" w:color="auto"/>
              <w:right w:val="single" w:sz="4" w:space="0" w:color="auto"/>
            </w:tcBorders>
            <w:shd w:val="clear" w:color="000000" w:fill="F2F2F2"/>
            <w:noWrap/>
            <w:vAlign w:val="bottom"/>
            <w:hideMark/>
          </w:tcPr>
          <w:p w14:paraId="7A75E79C"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62</w:t>
            </w:r>
          </w:p>
        </w:tc>
        <w:tc>
          <w:tcPr>
            <w:tcW w:w="376" w:type="pct"/>
            <w:tcBorders>
              <w:top w:val="nil"/>
              <w:left w:val="nil"/>
              <w:bottom w:val="single" w:sz="4" w:space="0" w:color="auto"/>
              <w:right w:val="single" w:sz="4" w:space="0" w:color="auto"/>
            </w:tcBorders>
            <w:shd w:val="clear" w:color="000000" w:fill="F2F2F2"/>
            <w:noWrap/>
            <w:vAlign w:val="bottom"/>
            <w:hideMark/>
          </w:tcPr>
          <w:p w14:paraId="18433819"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30</w:t>
            </w:r>
          </w:p>
        </w:tc>
        <w:tc>
          <w:tcPr>
            <w:tcW w:w="346" w:type="pct"/>
            <w:tcBorders>
              <w:top w:val="nil"/>
              <w:left w:val="nil"/>
              <w:bottom w:val="single" w:sz="4" w:space="0" w:color="auto"/>
              <w:right w:val="single" w:sz="4" w:space="0" w:color="auto"/>
            </w:tcBorders>
            <w:shd w:val="clear" w:color="000000" w:fill="F2F2F2"/>
            <w:noWrap/>
            <w:vAlign w:val="bottom"/>
            <w:hideMark/>
          </w:tcPr>
          <w:p w14:paraId="65CBDB31"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33</w:t>
            </w:r>
          </w:p>
        </w:tc>
        <w:tc>
          <w:tcPr>
            <w:tcW w:w="397" w:type="pct"/>
            <w:tcBorders>
              <w:top w:val="nil"/>
              <w:left w:val="nil"/>
              <w:bottom w:val="single" w:sz="4" w:space="0" w:color="auto"/>
              <w:right w:val="single" w:sz="4" w:space="0" w:color="auto"/>
            </w:tcBorders>
            <w:shd w:val="clear" w:color="000000" w:fill="F2F2F2"/>
            <w:noWrap/>
            <w:vAlign w:val="bottom"/>
            <w:hideMark/>
          </w:tcPr>
          <w:p w14:paraId="58A4C4E9"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5</w:t>
            </w:r>
          </w:p>
        </w:tc>
        <w:tc>
          <w:tcPr>
            <w:tcW w:w="388" w:type="pct"/>
            <w:tcBorders>
              <w:top w:val="nil"/>
              <w:left w:val="nil"/>
              <w:bottom w:val="single" w:sz="4" w:space="0" w:color="auto"/>
              <w:right w:val="single" w:sz="4" w:space="0" w:color="auto"/>
            </w:tcBorders>
            <w:shd w:val="clear" w:color="000000" w:fill="F2F2F2"/>
            <w:noWrap/>
            <w:vAlign w:val="bottom"/>
            <w:hideMark/>
          </w:tcPr>
          <w:p w14:paraId="4422FDE1"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0</w:t>
            </w:r>
          </w:p>
        </w:tc>
        <w:tc>
          <w:tcPr>
            <w:tcW w:w="381" w:type="pct"/>
            <w:tcBorders>
              <w:top w:val="nil"/>
              <w:left w:val="nil"/>
              <w:bottom w:val="single" w:sz="4" w:space="0" w:color="auto"/>
              <w:right w:val="single" w:sz="4" w:space="0" w:color="auto"/>
            </w:tcBorders>
            <w:shd w:val="clear" w:color="000000" w:fill="F2F2F2"/>
            <w:noWrap/>
            <w:vAlign w:val="bottom"/>
            <w:hideMark/>
          </w:tcPr>
          <w:p w14:paraId="0D727569"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15</w:t>
            </w:r>
          </w:p>
        </w:tc>
        <w:tc>
          <w:tcPr>
            <w:tcW w:w="402" w:type="pct"/>
            <w:tcBorders>
              <w:top w:val="nil"/>
              <w:left w:val="nil"/>
              <w:bottom w:val="single" w:sz="4" w:space="0" w:color="auto"/>
              <w:right w:val="single" w:sz="4" w:space="0" w:color="auto"/>
            </w:tcBorders>
            <w:shd w:val="clear" w:color="000000" w:fill="F2F2F2"/>
            <w:noWrap/>
            <w:vAlign w:val="bottom"/>
            <w:hideMark/>
          </w:tcPr>
          <w:p w14:paraId="7B0EFA5C"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25</w:t>
            </w:r>
          </w:p>
        </w:tc>
        <w:tc>
          <w:tcPr>
            <w:tcW w:w="393" w:type="pct"/>
            <w:tcBorders>
              <w:top w:val="nil"/>
              <w:left w:val="nil"/>
              <w:bottom w:val="single" w:sz="4" w:space="0" w:color="auto"/>
              <w:right w:val="single" w:sz="4" w:space="0" w:color="auto"/>
            </w:tcBorders>
            <w:shd w:val="clear" w:color="000000" w:fill="F2F2F2"/>
            <w:noWrap/>
            <w:vAlign w:val="bottom"/>
            <w:hideMark/>
          </w:tcPr>
          <w:p w14:paraId="08A784A0"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107</w:t>
            </w:r>
          </w:p>
        </w:tc>
        <w:tc>
          <w:tcPr>
            <w:tcW w:w="372" w:type="pct"/>
            <w:tcBorders>
              <w:top w:val="nil"/>
              <w:left w:val="nil"/>
              <w:bottom w:val="single" w:sz="4" w:space="0" w:color="auto"/>
              <w:right w:val="single" w:sz="4" w:space="0" w:color="auto"/>
            </w:tcBorders>
            <w:shd w:val="clear" w:color="000000" w:fill="F2F2F2"/>
            <w:noWrap/>
            <w:vAlign w:val="bottom"/>
            <w:hideMark/>
          </w:tcPr>
          <w:p w14:paraId="1D97A281"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86</w:t>
            </w:r>
          </w:p>
        </w:tc>
        <w:tc>
          <w:tcPr>
            <w:tcW w:w="388" w:type="pct"/>
            <w:tcBorders>
              <w:top w:val="nil"/>
              <w:left w:val="nil"/>
              <w:bottom w:val="single" w:sz="4" w:space="0" w:color="auto"/>
              <w:right w:val="single" w:sz="4" w:space="0" w:color="auto"/>
            </w:tcBorders>
            <w:shd w:val="clear" w:color="000000" w:fill="F2F2F2"/>
            <w:noWrap/>
            <w:vAlign w:val="bottom"/>
            <w:hideMark/>
          </w:tcPr>
          <w:p w14:paraId="5D41E110"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25</w:t>
            </w:r>
          </w:p>
        </w:tc>
        <w:tc>
          <w:tcPr>
            <w:tcW w:w="408" w:type="pct"/>
            <w:tcBorders>
              <w:top w:val="nil"/>
              <w:left w:val="nil"/>
              <w:bottom w:val="single" w:sz="4" w:space="0" w:color="auto"/>
              <w:right w:val="single" w:sz="4" w:space="0" w:color="auto"/>
            </w:tcBorders>
            <w:shd w:val="clear" w:color="000000" w:fill="F2F2F2"/>
            <w:noWrap/>
            <w:vAlign w:val="bottom"/>
            <w:hideMark/>
          </w:tcPr>
          <w:p w14:paraId="4364177A"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86</w:t>
            </w:r>
          </w:p>
        </w:tc>
      </w:tr>
      <w:tr w:rsidR="00EF5787" w:rsidRPr="00EF5787" w14:paraId="03E2129E" w14:textId="77777777" w:rsidTr="00C262DB">
        <w:trPr>
          <w:trHeight w:val="282"/>
        </w:trPr>
        <w:tc>
          <w:tcPr>
            <w:tcW w:w="344" w:type="pct"/>
            <w:tcBorders>
              <w:top w:val="nil"/>
              <w:left w:val="single" w:sz="4" w:space="0" w:color="auto"/>
              <w:bottom w:val="single" w:sz="4" w:space="0" w:color="auto"/>
              <w:right w:val="single" w:sz="4" w:space="0" w:color="auto"/>
            </w:tcBorders>
            <w:shd w:val="clear" w:color="000000" w:fill="92D050"/>
            <w:noWrap/>
            <w:vAlign w:val="bottom"/>
            <w:hideMark/>
          </w:tcPr>
          <w:p w14:paraId="0AEE4BDB" w14:textId="77777777" w:rsidR="00EF5787" w:rsidRPr="00EF5787" w:rsidRDefault="00EF5787" w:rsidP="00EF5787">
            <w:pPr>
              <w:spacing w:after="0"/>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ICH</w:t>
            </w:r>
          </w:p>
        </w:tc>
        <w:tc>
          <w:tcPr>
            <w:tcW w:w="385" w:type="pct"/>
            <w:tcBorders>
              <w:top w:val="nil"/>
              <w:left w:val="nil"/>
              <w:bottom w:val="single" w:sz="4" w:space="0" w:color="auto"/>
              <w:right w:val="single" w:sz="4" w:space="0" w:color="auto"/>
            </w:tcBorders>
            <w:shd w:val="clear" w:color="000000" w:fill="F2F2F2"/>
            <w:noWrap/>
            <w:vAlign w:val="bottom"/>
            <w:hideMark/>
          </w:tcPr>
          <w:p w14:paraId="72E0CB86"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56</w:t>
            </w:r>
          </w:p>
        </w:tc>
        <w:tc>
          <w:tcPr>
            <w:tcW w:w="419" w:type="pct"/>
            <w:tcBorders>
              <w:top w:val="nil"/>
              <w:left w:val="nil"/>
              <w:bottom w:val="single" w:sz="4" w:space="0" w:color="auto"/>
              <w:right w:val="single" w:sz="4" w:space="0" w:color="auto"/>
            </w:tcBorders>
            <w:shd w:val="clear" w:color="000000" w:fill="F2F2F2"/>
            <w:noWrap/>
            <w:vAlign w:val="bottom"/>
            <w:hideMark/>
          </w:tcPr>
          <w:p w14:paraId="34ECD203"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62</w:t>
            </w:r>
          </w:p>
        </w:tc>
        <w:tc>
          <w:tcPr>
            <w:tcW w:w="376" w:type="pct"/>
            <w:tcBorders>
              <w:top w:val="nil"/>
              <w:left w:val="nil"/>
              <w:bottom w:val="single" w:sz="4" w:space="0" w:color="auto"/>
              <w:right w:val="single" w:sz="4" w:space="0" w:color="auto"/>
            </w:tcBorders>
            <w:shd w:val="clear" w:color="000000" w:fill="F2F2F2"/>
            <w:noWrap/>
            <w:vAlign w:val="bottom"/>
            <w:hideMark/>
          </w:tcPr>
          <w:p w14:paraId="7C417A27"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90</w:t>
            </w:r>
          </w:p>
        </w:tc>
        <w:tc>
          <w:tcPr>
            <w:tcW w:w="346" w:type="pct"/>
            <w:tcBorders>
              <w:top w:val="nil"/>
              <w:left w:val="nil"/>
              <w:bottom w:val="single" w:sz="4" w:space="0" w:color="auto"/>
              <w:right w:val="single" w:sz="4" w:space="0" w:color="auto"/>
            </w:tcBorders>
            <w:shd w:val="clear" w:color="000000" w:fill="F2F2F2"/>
            <w:noWrap/>
            <w:vAlign w:val="bottom"/>
            <w:hideMark/>
          </w:tcPr>
          <w:p w14:paraId="76F82BCA"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114</w:t>
            </w:r>
          </w:p>
        </w:tc>
        <w:tc>
          <w:tcPr>
            <w:tcW w:w="397" w:type="pct"/>
            <w:tcBorders>
              <w:top w:val="nil"/>
              <w:left w:val="nil"/>
              <w:bottom w:val="single" w:sz="4" w:space="0" w:color="auto"/>
              <w:right w:val="single" w:sz="4" w:space="0" w:color="auto"/>
            </w:tcBorders>
            <w:shd w:val="clear" w:color="000000" w:fill="F2F2F2"/>
            <w:noWrap/>
            <w:vAlign w:val="bottom"/>
            <w:hideMark/>
          </w:tcPr>
          <w:p w14:paraId="29B4EDE1"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66</w:t>
            </w:r>
          </w:p>
        </w:tc>
        <w:tc>
          <w:tcPr>
            <w:tcW w:w="388" w:type="pct"/>
            <w:tcBorders>
              <w:top w:val="nil"/>
              <w:left w:val="nil"/>
              <w:bottom w:val="single" w:sz="4" w:space="0" w:color="auto"/>
              <w:right w:val="single" w:sz="4" w:space="0" w:color="auto"/>
            </w:tcBorders>
            <w:shd w:val="clear" w:color="000000" w:fill="F2F2F2"/>
            <w:noWrap/>
            <w:vAlign w:val="bottom"/>
            <w:hideMark/>
          </w:tcPr>
          <w:p w14:paraId="1D169034"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114</w:t>
            </w:r>
          </w:p>
        </w:tc>
        <w:tc>
          <w:tcPr>
            <w:tcW w:w="381" w:type="pct"/>
            <w:tcBorders>
              <w:top w:val="nil"/>
              <w:left w:val="nil"/>
              <w:bottom w:val="single" w:sz="4" w:space="0" w:color="auto"/>
              <w:right w:val="single" w:sz="4" w:space="0" w:color="auto"/>
            </w:tcBorders>
            <w:shd w:val="clear" w:color="000000" w:fill="F2F2F2"/>
            <w:noWrap/>
            <w:vAlign w:val="bottom"/>
            <w:hideMark/>
          </w:tcPr>
          <w:p w14:paraId="05A6EEF7"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165</w:t>
            </w:r>
          </w:p>
        </w:tc>
        <w:tc>
          <w:tcPr>
            <w:tcW w:w="402" w:type="pct"/>
            <w:tcBorders>
              <w:top w:val="nil"/>
              <w:left w:val="nil"/>
              <w:bottom w:val="single" w:sz="4" w:space="0" w:color="auto"/>
              <w:right w:val="single" w:sz="4" w:space="0" w:color="auto"/>
            </w:tcBorders>
            <w:shd w:val="clear" w:color="000000" w:fill="F2F2F2"/>
            <w:noWrap/>
            <w:vAlign w:val="bottom"/>
            <w:hideMark/>
          </w:tcPr>
          <w:p w14:paraId="702A2590"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125</w:t>
            </w:r>
          </w:p>
        </w:tc>
        <w:tc>
          <w:tcPr>
            <w:tcW w:w="393" w:type="pct"/>
            <w:tcBorders>
              <w:top w:val="nil"/>
              <w:left w:val="nil"/>
              <w:bottom w:val="single" w:sz="4" w:space="0" w:color="auto"/>
              <w:right w:val="single" w:sz="4" w:space="0" w:color="auto"/>
            </w:tcBorders>
            <w:shd w:val="clear" w:color="000000" w:fill="F2F2F2"/>
            <w:noWrap/>
            <w:vAlign w:val="bottom"/>
            <w:hideMark/>
          </w:tcPr>
          <w:p w14:paraId="1BEFE91F"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90</w:t>
            </w:r>
          </w:p>
        </w:tc>
        <w:tc>
          <w:tcPr>
            <w:tcW w:w="372" w:type="pct"/>
            <w:tcBorders>
              <w:top w:val="nil"/>
              <w:left w:val="nil"/>
              <w:bottom w:val="single" w:sz="4" w:space="0" w:color="auto"/>
              <w:right w:val="single" w:sz="4" w:space="0" w:color="auto"/>
            </w:tcBorders>
            <w:shd w:val="clear" w:color="000000" w:fill="F2F2F2"/>
            <w:noWrap/>
            <w:vAlign w:val="bottom"/>
            <w:hideMark/>
          </w:tcPr>
          <w:p w14:paraId="5DCEFBA3"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106</w:t>
            </w:r>
          </w:p>
        </w:tc>
        <w:tc>
          <w:tcPr>
            <w:tcW w:w="388" w:type="pct"/>
            <w:tcBorders>
              <w:top w:val="nil"/>
              <w:left w:val="nil"/>
              <w:bottom w:val="single" w:sz="4" w:space="0" w:color="auto"/>
              <w:right w:val="single" w:sz="4" w:space="0" w:color="auto"/>
            </w:tcBorders>
            <w:shd w:val="clear" w:color="000000" w:fill="F2F2F2"/>
            <w:noWrap/>
            <w:vAlign w:val="bottom"/>
            <w:hideMark/>
          </w:tcPr>
          <w:p w14:paraId="689890F3"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72</w:t>
            </w:r>
          </w:p>
        </w:tc>
        <w:tc>
          <w:tcPr>
            <w:tcW w:w="408" w:type="pct"/>
            <w:tcBorders>
              <w:top w:val="nil"/>
              <w:left w:val="nil"/>
              <w:bottom w:val="single" w:sz="4" w:space="0" w:color="auto"/>
              <w:right w:val="single" w:sz="4" w:space="0" w:color="auto"/>
            </w:tcBorders>
            <w:shd w:val="clear" w:color="000000" w:fill="F2F2F2"/>
            <w:noWrap/>
            <w:vAlign w:val="bottom"/>
            <w:hideMark/>
          </w:tcPr>
          <w:p w14:paraId="3FFDBA55"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100</w:t>
            </w:r>
          </w:p>
        </w:tc>
      </w:tr>
      <w:tr w:rsidR="00EF5787" w:rsidRPr="00EF5787" w14:paraId="45CA648E" w14:textId="77777777" w:rsidTr="00C262DB">
        <w:trPr>
          <w:trHeight w:val="282"/>
        </w:trPr>
        <w:tc>
          <w:tcPr>
            <w:tcW w:w="344" w:type="pct"/>
            <w:tcBorders>
              <w:top w:val="nil"/>
              <w:left w:val="single" w:sz="4" w:space="0" w:color="auto"/>
              <w:bottom w:val="single" w:sz="4" w:space="0" w:color="auto"/>
              <w:right w:val="single" w:sz="4" w:space="0" w:color="auto"/>
            </w:tcBorders>
            <w:shd w:val="clear" w:color="000000" w:fill="92D050"/>
            <w:noWrap/>
            <w:vAlign w:val="bottom"/>
            <w:hideMark/>
          </w:tcPr>
          <w:p w14:paraId="12F0F2AB" w14:textId="77777777" w:rsidR="00EF5787" w:rsidRPr="00EF5787" w:rsidRDefault="00EF5787" w:rsidP="00EF5787">
            <w:pPr>
              <w:spacing w:after="0"/>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THH</w:t>
            </w:r>
          </w:p>
        </w:tc>
        <w:tc>
          <w:tcPr>
            <w:tcW w:w="385" w:type="pct"/>
            <w:tcBorders>
              <w:top w:val="nil"/>
              <w:left w:val="nil"/>
              <w:bottom w:val="single" w:sz="4" w:space="0" w:color="auto"/>
              <w:right w:val="single" w:sz="4" w:space="0" w:color="auto"/>
            </w:tcBorders>
            <w:shd w:val="clear" w:color="000000" w:fill="F2F2F2"/>
            <w:noWrap/>
            <w:vAlign w:val="bottom"/>
            <w:hideMark/>
          </w:tcPr>
          <w:p w14:paraId="409A5799"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38</w:t>
            </w:r>
          </w:p>
        </w:tc>
        <w:tc>
          <w:tcPr>
            <w:tcW w:w="419" w:type="pct"/>
            <w:tcBorders>
              <w:top w:val="nil"/>
              <w:left w:val="nil"/>
              <w:bottom w:val="single" w:sz="4" w:space="0" w:color="auto"/>
              <w:right w:val="single" w:sz="4" w:space="0" w:color="auto"/>
            </w:tcBorders>
            <w:shd w:val="clear" w:color="000000" w:fill="F2F2F2"/>
            <w:noWrap/>
            <w:vAlign w:val="bottom"/>
            <w:hideMark/>
          </w:tcPr>
          <w:p w14:paraId="7C1F5B60"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49</w:t>
            </w:r>
          </w:p>
        </w:tc>
        <w:tc>
          <w:tcPr>
            <w:tcW w:w="376" w:type="pct"/>
            <w:tcBorders>
              <w:top w:val="nil"/>
              <w:left w:val="nil"/>
              <w:bottom w:val="single" w:sz="4" w:space="0" w:color="auto"/>
              <w:right w:val="single" w:sz="4" w:space="0" w:color="auto"/>
            </w:tcBorders>
            <w:shd w:val="clear" w:color="000000" w:fill="F2F2F2"/>
            <w:noWrap/>
            <w:vAlign w:val="bottom"/>
            <w:hideMark/>
          </w:tcPr>
          <w:p w14:paraId="5A016710"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36</w:t>
            </w:r>
          </w:p>
        </w:tc>
        <w:tc>
          <w:tcPr>
            <w:tcW w:w="346" w:type="pct"/>
            <w:tcBorders>
              <w:top w:val="nil"/>
              <w:left w:val="nil"/>
              <w:bottom w:val="single" w:sz="4" w:space="0" w:color="auto"/>
              <w:right w:val="single" w:sz="4" w:space="0" w:color="auto"/>
            </w:tcBorders>
            <w:shd w:val="clear" w:color="000000" w:fill="F2F2F2"/>
            <w:noWrap/>
            <w:vAlign w:val="bottom"/>
            <w:hideMark/>
          </w:tcPr>
          <w:p w14:paraId="02DBADF4"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42</w:t>
            </w:r>
          </w:p>
        </w:tc>
        <w:tc>
          <w:tcPr>
            <w:tcW w:w="397" w:type="pct"/>
            <w:tcBorders>
              <w:top w:val="nil"/>
              <w:left w:val="nil"/>
              <w:bottom w:val="single" w:sz="4" w:space="0" w:color="auto"/>
              <w:right w:val="single" w:sz="4" w:space="0" w:color="auto"/>
            </w:tcBorders>
            <w:shd w:val="clear" w:color="000000" w:fill="F2F2F2"/>
            <w:noWrap/>
            <w:vAlign w:val="bottom"/>
            <w:hideMark/>
          </w:tcPr>
          <w:p w14:paraId="40AD14A6"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30</w:t>
            </w:r>
          </w:p>
        </w:tc>
        <w:tc>
          <w:tcPr>
            <w:tcW w:w="388" w:type="pct"/>
            <w:tcBorders>
              <w:top w:val="nil"/>
              <w:left w:val="nil"/>
              <w:bottom w:val="single" w:sz="4" w:space="0" w:color="auto"/>
              <w:right w:val="single" w:sz="4" w:space="0" w:color="auto"/>
            </w:tcBorders>
            <w:shd w:val="clear" w:color="000000" w:fill="F2F2F2"/>
            <w:noWrap/>
            <w:vAlign w:val="bottom"/>
            <w:hideMark/>
          </w:tcPr>
          <w:p w14:paraId="4AFE0830"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40</w:t>
            </w:r>
          </w:p>
        </w:tc>
        <w:tc>
          <w:tcPr>
            <w:tcW w:w="381" w:type="pct"/>
            <w:tcBorders>
              <w:top w:val="nil"/>
              <w:left w:val="nil"/>
              <w:bottom w:val="single" w:sz="4" w:space="0" w:color="auto"/>
              <w:right w:val="single" w:sz="4" w:space="0" w:color="auto"/>
            </w:tcBorders>
            <w:shd w:val="clear" w:color="000000" w:fill="F2F2F2"/>
            <w:noWrap/>
            <w:vAlign w:val="bottom"/>
            <w:hideMark/>
          </w:tcPr>
          <w:p w14:paraId="0E8CE8CA"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31</w:t>
            </w:r>
          </w:p>
        </w:tc>
        <w:tc>
          <w:tcPr>
            <w:tcW w:w="402" w:type="pct"/>
            <w:tcBorders>
              <w:top w:val="nil"/>
              <w:left w:val="nil"/>
              <w:bottom w:val="single" w:sz="4" w:space="0" w:color="auto"/>
              <w:right w:val="single" w:sz="4" w:space="0" w:color="auto"/>
            </w:tcBorders>
            <w:shd w:val="clear" w:color="000000" w:fill="F2F2F2"/>
            <w:noWrap/>
            <w:vAlign w:val="bottom"/>
            <w:hideMark/>
          </w:tcPr>
          <w:p w14:paraId="4ECB4E92"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25</w:t>
            </w:r>
          </w:p>
        </w:tc>
        <w:tc>
          <w:tcPr>
            <w:tcW w:w="393" w:type="pct"/>
            <w:tcBorders>
              <w:top w:val="nil"/>
              <w:left w:val="nil"/>
              <w:bottom w:val="single" w:sz="4" w:space="0" w:color="auto"/>
              <w:right w:val="single" w:sz="4" w:space="0" w:color="auto"/>
            </w:tcBorders>
            <w:shd w:val="clear" w:color="000000" w:fill="F2F2F2"/>
            <w:noWrap/>
            <w:vAlign w:val="bottom"/>
            <w:hideMark/>
          </w:tcPr>
          <w:p w14:paraId="689211ED"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76</w:t>
            </w:r>
          </w:p>
        </w:tc>
        <w:tc>
          <w:tcPr>
            <w:tcW w:w="372" w:type="pct"/>
            <w:tcBorders>
              <w:top w:val="nil"/>
              <w:left w:val="nil"/>
              <w:bottom w:val="single" w:sz="4" w:space="0" w:color="auto"/>
              <w:right w:val="single" w:sz="4" w:space="0" w:color="auto"/>
            </w:tcBorders>
            <w:shd w:val="clear" w:color="000000" w:fill="F2F2F2"/>
            <w:noWrap/>
            <w:vAlign w:val="bottom"/>
            <w:hideMark/>
          </w:tcPr>
          <w:p w14:paraId="46C69799"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27</w:t>
            </w:r>
          </w:p>
        </w:tc>
        <w:tc>
          <w:tcPr>
            <w:tcW w:w="388" w:type="pct"/>
            <w:tcBorders>
              <w:top w:val="nil"/>
              <w:left w:val="nil"/>
              <w:bottom w:val="single" w:sz="4" w:space="0" w:color="auto"/>
              <w:right w:val="single" w:sz="4" w:space="0" w:color="auto"/>
            </w:tcBorders>
            <w:shd w:val="clear" w:color="000000" w:fill="F2F2F2"/>
            <w:noWrap/>
            <w:vAlign w:val="bottom"/>
            <w:hideMark/>
          </w:tcPr>
          <w:p w14:paraId="4BB2B501"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23</w:t>
            </w:r>
          </w:p>
        </w:tc>
        <w:tc>
          <w:tcPr>
            <w:tcW w:w="408" w:type="pct"/>
            <w:tcBorders>
              <w:top w:val="nil"/>
              <w:left w:val="nil"/>
              <w:bottom w:val="single" w:sz="4" w:space="0" w:color="auto"/>
              <w:right w:val="single" w:sz="4" w:space="0" w:color="auto"/>
            </w:tcBorders>
            <w:shd w:val="clear" w:color="000000" w:fill="F2F2F2"/>
            <w:noWrap/>
            <w:vAlign w:val="bottom"/>
            <w:hideMark/>
          </w:tcPr>
          <w:p w14:paraId="21D6BAD6" w14:textId="77777777" w:rsidR="00EF5787" w:rsidRPr="00EF5787" w:rsidRDefault="00EF5787" w:rsidP="00EF5787">
            <w:pPr>
              <w:spacing w:after="0"/>
              <w:jc w:val="right"/>
              <w:rPr>
                <w:rFonts w:ascii="Calibri" w:eastAsia="Times New Roman" w:hAnsi="Calibri" w:cs="Calibri"/>
                <w:color w:val="000000"/>
                <w:sz w:val="22"/>
                <w:szCs w:val="22"/>
                <w:lang w:eastAsia="en-GB"/>
              </w:rPr>
            </w:pPr>
            <w:r w:rsidRPr="00EF5787">
              <w:rPr>
                <w:rFonts w:ascii="Calibri" w:eastAsia="Times New Roman" w:hAnsi="Calibri" w:cs="Calibri"/>
                <w:color w:val="000000"/>
                <w:sz w:val="22"/>
                <w:szCs w:val="22"/>
                <w:lang w:eastAsia="en-GB"/>
              </w:rPr>
              <w:t>32</w:t>
            </w:r>
          </w:p>
        </w:tc>
      </w:tr>
    </w:tbl>
    <w:p w14:paraId="2EE534F4" w14:textId="77777777" w:rsidR="00EF5787" w:rsidRDefault="00EF5787" w:rsidP="00CA5A3B">
      <w:pPr>
        <w:rPr>
          <w:rFonts w:cs="Arial"/>
          <w:sz w:val="22"/>
          <w:szCs w:val="22"/>
        </w:rPr>
      </w:pPr>
    </w:p>
    <w:p w14:paraId="29641414" w14:textId="0D952CD2" w:rsidR="00EC3951" w:rsidRDefault="00EC3951" w:rsidP="00CA5A3B">
      <w:pPr>
        <w:rPr>
          <w:rFonts w:cs="Arial"/>
          <w:sz w:val="22"/>
          <w:szCs w:val="22"/>
        </w:rPr>
      </w:pPr>
      <w:r>
        <w:rPr>
          <w:rFonts w:cs="Arial"/>
          <w:sz w:val="22"/>
          <w:szCs w:val="22"/>
        </w:rPr>
        <w:t>Similar to antenatal FFT, CWFT receive an equal share of the total responses across NWL APC for completed labour and birth FFT surveys. Despite having volatile changes in women’s experiences of birth, CWFT remains one of the top performing trusts in London for this, which mirrors the national survey findings.</w:t>
      </w:r>
    </w:p>
    <w:p w14:paraId="3312AF5C" w14:textId="225F673F" w:rsidR="00CA5A3B" w:rsidRDefault="00CA5A3B" w:rsidP="00CA5A3B">
      <w:pPr>
        <w:spacing w:after="200" w:line="276" w:lineRule="auto"/>
        <w:rPr>
          <w:rFonts w:cs="Arial"/>
          <w:sz w:val="22"/>
          <w:szCs w:val="22"/>
          <w:u w:val="single"/>
        </w:rPr>
      </w:pPr>
      <w:r w:rsidRPr="00386EA6">
        <w:rPr>
          <w:rFonts w:cs="Arial"/>
          <w:sz w:val="22"/>
          <w:szCs w:val="22"/>
          <w:u w:val="single"/>
        </w:rPr>
        <w:lastRenderedPageBreak/>
        <w:t>Maternity</w:t>
      </w:r>
      <w:r>
        <w:rPr>
          <w:rFonts w:cs="Arial"/>
          <w:sz w:val="22"/>
          <w:szCs w:val="22"/>
          <w:u w:val="single"/>
        </w:rPr>
        <w:t xml:space="preserve"> (postnatal ward)</w:t>
      </w:r>
    </w:p>
    <w:p w14:paraId="6EDE1B36" w14:textId="1B00D358" w:rsidR="00CA5A3B" w:rsidRDefault="00CA5A3B" w:rsidP="00CA5A3B">
      <w:pPr>
        <w:spacing w:after="200" w:line="276" w:lineRule="auto"/>
        <w:rPr>
          <w:rFonts w:cs="Arial"/>
          <w:sz w:val="22"/>
          <w:szCs w:val="22"/>
        </w:rPr>
      </w:pPr>
      <w:r>
        <w:rPr>
          <w:rFonts w:cs="Arial"/>
          <w:sz w:val="22"/>
          <w:szCs w:val="22"/>
        </w:rPr>
        <w:t>Figure 11: Maternity (postnatal ward) FFT satisfaction % comparison CWFT, NWL and National</w:t>
      </w:r>
    </w:p>
    <w:p w14:paraId="09B8A4E6" w14:textId="0BBEF837" w:rsidR="00EC3951" w:rsidRPr="00CA5A3B" w:rsidRDefault="00A81992" w:rsidP="00CA5A3B">
      <w:pPr>
        <w:spacing w:after="200" w:line="276" w:lineRule="auto"/>
        <w:rPr>
          <w:rFonts w:cs="Arial"/>
          <w:sz w:val="22"/>
          <w:szCs w:val="22"/>
        </w:rPr>
      </w:pPr>
      <w:r>
        <w:rPr>
          <w:noProof/>
          <w:lang w:eastAsia="en-GB"/>
        </w:rPr>
        <w:drawing>
          <wp:inline distT="0" distB="0" distL="0" distR="0" wp14:anchorId="55897C31" wp14:editId="6E768E57">
            <wp:extent cx="6120130" cy="2954655"/>
            <wp:effectExtent l="0" t="0" r="13970" b="1714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FC95C1B" w14:textId="51CB24E6" w:rsidR="00CA5A3B" w:rsidRDefault="00CA5A3B" w:rsidP="00CA5A3B">
      <w:pPr>
        <w:spacing w:after="200" w:line="276" w:lineRule="auto"/>
        <w:rPr>
          <w:rFonts w:cs="Arial"/>
          <w:noProof/>
          <w:sz w:val="22"/>
          <w:szCs w:val="22"/>
          <w:lang w:eastAsia="en-GB"/>
        </w:rPr>
      </w:pPr>
      <w:r>
        <w:rPr>
          <w:rFonts w:cs="Arial"/>
          <w:noProof/>
          <w:sz w:val="22"/>
          <w:szCs w:val="22"/>
          <w:lang w:eastAsia="en-GB"/>
        </w:rPr>
        <w:t>Figure 12: Maternity (postnatal ward) FFT total responses comparison CWFT, NWL and National</w:t>
      </w:r>
    </w:p>
    <w:tbl>
      <w:tblPr>
        <w:tblW w:w="5576" w:type="pct"/>
        <w:tblInd w:w="-289" w:type="dxa"/>
        <w:tblLook w:val="04A0" w:firstRow="1" w:lastRow="0" w:firstColumn="1" w:lastColumn="0" w:noHBand="0" w:noVBand="1"/>
      </w:tblPr>
      <w:tblGrid>
        <w:gridCol w:w="738"/>
        <w:gridCol w:w="826"/>
        <w:gridCol w:w="900"/>
        <w:gridCol w:w="808"/>
        <w:gridCol w:w="743"/>
        <w:gridCol w:w="853"/>
        <w:gridCol w:w="833"/>
        <w:gridCol w:w="819"/>
        <w:gridCol w:w="864"/>
        <w:gridCol w:w="845"/>
        <w:gridCol w:w="798"/>
        <w:gridCol w:w="833"/>
        <w:gridCol w:w="877"/>
      </w:tblGrid>
      <w:tr w:rsidR="00A81992" w:rsidRPr="00A81992" w14:paraId="0FE27A93" w14:textId="77777777" w:rsidTr="00C262DB">
        <w:trPr>
          <w:trHeight w:val="272"/>
        </w:trPr>
        <w:tc>
          <w:tcPr>
            <w:tcW w:w="5000" w:type="pct"/>
            <w:gridSpan w:val="13"/>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5E511A4" w14:textId="77777777" w:rsidR="00A81992" w:rsidRPr="00A81992" w:rsidRDefault="00A81992" w:rsidP="00A81992">
            <w:pPr>
              <w:spacing w:after="0"/>
              <w:jc w:val="center"/>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Postnatal Ward Response Total</w:t>
            </w:r>
          </w:p>
        </w:tc>
      </w:tr>
      <w:tr w:rsidR="00A81992" w:rsidRPr="00A81992" w14:paraId="4C1D5817" w14:textId="77777777" w:rsidTr="00C262DB">
        <w:trPr>
          <w:trHeight w:val="272"/>
        </w:trPr>
        <w:tc>
          <w:tcPr>
            <w:tcW w:w="344" w:type="pct"/>
            <w:tcBorders>
              <w:top w:val="nil"/>
              <w:left w:val="single" w:sz="4" w:space="0" w:color="auto"/>
              <w:bottom w:val="single" w:sz="4" w:space="0" w:color="auto"/>
              <w:right w:val="single" w:sz="4" w:space="0" w:color="auto"/>
            </w:tcBorders>
            <w:shd w:val="clear" w:color="000000" w:fill="92D050"/>
            <w:noWrap/>
            <w:vAlign w:val="bottom"/>
            <w:hideMark/>
          </w:tcPr>
          <w:p w14:paraId="7E852381" w14:textId="77777777" w:rsidR="00A81992" w:rsidRPr="00A81992" w:rsidRDefault="00A81992" w:rsidP="00A81992">
            <w:pPr>
              <w:spacing w:after="0"/>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 </w:t>
            </w:r>
          </w:p>
        </w:tc>
        <w:tc>
          <w:tcPr>
            <w:tcW w:w="385" w:type="pct"/>
            <w:tcBorders>
              <w:top w:val="nil"/>
              <w:left w:val="nil"/>
              <w:bottom w:val="single" w:sz="4" w:space="0" w:color="auto"/>
              <w:right w:val="single" w:sz="4" w:space="0" w:color="auto"/>
            </w:tcBorders>
            <w:shd w:val="clear" w:color="000000" w:fill="92D050"/>
            <w:noWrap/>
            <w:vAlign w:val="bottom"/>
            <w:hideMark/>
          </w:tcPr>
          <w:p w14:paraId="54AFFE5A"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Apr-23</w:t>
            </w:r>
          </w:p>
        </w:tc>
        <w:tc>
          <w:tcPr>
            <w:tcW w:w="419" w:type="pct"/>
            <w:tcBorders>
              <w:top w:val="nil"/>
              <w:left w:val="nil"/>
              <w:bottom w:val="single" w:sz="4" w:space="0" w:color="auto"/>
              <w:right w:val="single" w:sz="4" w:space="0" w:color="auto"/>
            </w:tcBorders>
            <w:shd w:val="clear" w:color="000000" w:fill="92D050"/>
            <w:noWrap/>
            <w:vAlign w:val="bottom"/>
            <w:hideMark/>
          </w:tcPr>
          <w:p w14:paraId="7EBDB183"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May-23</w:t>
            </w:r>
          </w:p>
        </w:tc>
        <w:tc>
          <w:tcPr>
            <w:tcW w:w="376" w:type="pct"/>
            <w:tcBorders>
              <w:top w:val="nil"/>
              <w:left w:val="nil"/>
              <w:bottom w:val="single" w:sz="4" w:space="0" w:color="auto"/>
              <w:right w:val="single" w:sz="4" w:space="0" w:color="auto"/>
            </w:tcBorders>
            <w:shd w:val="clear" w:color="000000" w:fill="92D050"/>
            <w:noWrap/>
            <w:vAlign w:val="bottom"/>
            <w:hideMark/>
          </w:tcPr>
          <w:p w14:paraId="4E4FE13B"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Jun-23</w:t>
            </w:r>
          </w:p>
        </w:tc>
        <w:tc>
          <w:tcPr>
            <w:tcW w:w="346" w:type="pct"/>
            <w:tcBorders>
              <w:top w:val="nil"/>
              <w:left w:val="nil"/>
              <w:bottom w:val="single" w:sz="4" w:space="0" w:color="auto"/>
              <w:right w:val="single" w:sz="4" w:space="0" w:color="auto"/>
            </w:tcBorders>
            <w:shd w:val="clear" w:color="000000" w:fill="92D050"/>
            <w:noWrap/>
            <w:vAlign w:val="bottom"/>
            <w:hideMark/>
          </w:tcPr>
          <w:p w14:paraId="69806AF9"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Jul-23</w:t>
            </w:r>
          </w:p>
        </w:tc>
        <w:tc>
          <w:tcPr>
            <w:tcW w:w="397" w:type="pct"/>
            <w:tcBorders>
              <w:top w:val="nil"/>
              <w:left w:val="nil"/>
              <w:bottom w:val="single" w:sz="4" w:space="0" w:color="auto"/>
              <w:right w:val="single" w:sz="4" w:space="0" w:color="auto"/>
            </w:tcBorders>
            <w:shd w:val="clear" w:color="000000" w:fill="92D050"/>
            <w:noWrap/>
            <w:vAlign w:val="bottom"/>
            <w:hideMark/>
          </w:tcPr>
          <w:p w14:paraId="7E94CACA"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Aug-23</w:t>
            </w:r>
          </w:p>
        </w:tc>
        <w:tc>
          <w:tcPr>
            <w:tcW w:w="388" w:type="pct"/>
            <w:tcBorders>
              <w:top w:val="nil"/>
              <w:left w:val="nil"/>
              <w:bottom w:val="single" w:sz="4" w:space="0" w:color="auto"/>
              <w:right w:val="single" w:sz="4" w:space="0" w:color="auto"/>
            </w:tcBorders>
            <w:shd w:val="clear" w:color="000000" w:fill="92D050"/>
            <w:noWrap/>
            <w:vAlign w:val="bottom"/>
            <w:hideMark/>
          </w:tcPr>
          <w:p w14:paraId="2D349CA6"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Sep-23</w:t>
            </w:r>
          </w:p>
        </w:tc>
        <w:tc>
          <w:tcPr>
            <w:tcW w:w="381" w:type="pct"/>
            <w:tcBorders>
              <w:top w:val="nil"/>
              <w:left w:val="nil"/>
              <w:bottom w:val="single" w:sz="4" w:space="0" w:color="auto"/>
              <w:right w:val="single" w:sz="4" w:space="0" w:color="auto"/>
            </w:tcBorders>
            <w:shd w:val="clear" w:color="000000" w:fill="92D050"/>
            <w:noWrap/>
            <w:vAlign w:val="bottom"/>
            <w:hideMark/>
          </w:tcPr>
          <w:p w14:paraId="566A4A1F"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Oct-23</w:t>
            </w:r>
          </w:p>
        </w:tc>
        <w:tc>
          <w:tcPr>
            <w:tcW w:w="402" w:type="pct"/>
            <w:tcBorders>
              <w:top w:val="nil"/>
              <w:left w:val="nil"/>
              <w:bottom w:val="single" w:sz="4" w:space="0" w:color="auto"/>
              <w:right w:val="single" w:sz="4" w:space="0" w:color="auto"/>
            </w:tcBorders>
            <w:shd w:val="clear" w:color="000000" w:fill="92D050"/>
            <w:noWrap/>
            <w:vAlign w:val="bottom"/>
            <w:hideMark/>
          </w:tcPr>
          <w:p w14:paraId="46AA5B7B"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Nov-23</w:t>
            </w:r>
          </w:p>
        </w:tc>
        <w:tc>
          <w:tcPr>
            <w:tcW w:w="393" w:type="pct"/>
            <w:tcBorders>
              <w:top w:val="nil"/>
              <w:left w:val="nil"/>
              <w:bottom w:val="single" w:sz="4" w:space="0" w:color="auto"/>
              <w:right w:val="single" w:sz="4" w:space="0" w:color="auto"/>
            </w:tcBorders>
            <w:shd w:val="clear" w:color="000000" w:fill="92D050"/>
            <w:noWrap/>
            <w:vAlign w:val="bottom"/>
            <w:hideMark/>
          </w:tcPr>
          <w:p w14:paraId="10845DD2"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Dec-23</w:t>
            </w:r>
          </w:p>
        </w:tc>
        <w:tc>
          <w:tcPr>
            <w:tcW w:w="372" w:type="pct"/>
            <w:tcBorders>
              <w:top w:val="nil"/>
              <w:left w:val="nil"/>
              <w:bottom w:val="single" w:sz="4" w:space="0" w:color="auto"/>
              <w:right w:val="single" w:sz="4" w:space="0" w:color="auto"/>
            </w:tcBorders>
            <w:shd w:val="clear" w:color="000000" w:fill="92D050"/>
            <w:noWrap/>
            <w:vAlign w:val="bottom"/>
            <w:hideMark/>
          </w:tcPr>
          <w:p w14:paraId="410FF67D"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Jan-24</w:t>
            </w:r>
          </w:p>
        </w:tc>
        <w:tc>
          <w:tcPr>
            <w:tcW w:w="388" w:type="pct"/>
            <w:tcBorders>
              <w:top w:val="nil"/>
              <w:left w:val="nil"/>
              <w:bottom w:val="single" w:sz="4" w:space="0" w:color="auto"/>
              <w:right w:val="single" w:sz="4" w:space="0" w:color="auto"/>
            </w:tcBorders>
            <w:shd w:val="clear" w:color="000000" w:fill="92D050"/>
            <w:noWrap/>
            <w:vAlign w:val="bottom"/>
            <w:hideMark/>
          </w:tcPr>
          <w:p w14:paraId="1C6FF1E7"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Feb-24</w:t>
            </w:r>
          </w:p>
        </w:tc>
        <w:tc>
          <w:tcPr>
            <w:tcW w:w="408" w:type="pct"/>
            <w:tcBorders>
              <w:top w:val="nil"/>
              <w:left w:val="nil"/>
              <w:bottom w:val="single" w:sz="4" w:space="0" w:color="auto"/>
              <w:right w:val="single" w:sz="4" w:space="0" w:color="auto"/>
            </w:tcBorders>
            <w:shd w:val="clear" w:color="000000" w:fill="92D050"/>
            <w:noWrap/>
            <w:vAlign w:val="bottom"/>
            <w:hideMark/>
          </w:tcPr>
          <w:p w14:paraId="0D9FF241"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Mar-24</w:t>
            </w:r>
          </w:p>
        </w:tc>
      </w:tr>
      <w:tr w:rsidR="00A81992" w:rsidRPr="00A81992" w14:paraId="31E562AB" w14:textId="77777777" w:rsidTr="00C262DB">
        <w:trPr>
          <w:trHeight w:val="272"/>
        </w:trPr>
        <w:tc>
          <w:tcPr>
            <w:tcW w:w="344" w:type="pct"/>
            <w:tcBorders>
              <w:top w:val="nil"/>
              <w:left w:val="single" w:sz="4" w:space="0" w:color="auto"/>
              <w:bottom w:val="single" w:sz="4" w:space="0" w:color="auto"/>
              <w:right w:val="single" w:sz="4" w:space="0" w:color="auto"/>
            </w:tcBorders>
            <w:shd w:val="clear" w:color="000000" w:fill="92D050"/>
            <w:noWrap/>
            <w:vAlign w:val="bottom"/>
            <w:hideMark/>
          </w:tcPr>
          <w:p w14:paraId="1CC95834" w14:textId="77777777" w:rsidR="00A81992" w:rsidRPr="00A81992" w:rsidRDefault="00A81992" w:rsidP="00A81992">
            <w:pPr>
              <w:spacing w:after="0"/>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CWFT</w:t>
            </w:r>
          </w:p>
        </w:tc>
        <w:tc>
          <w:tcPr>
            <w:tcW w:w="385" w:type="pct"/>
            <w:tcBorders>
              <w:top w:val="nil"/>
              <w:left w:val="nil"/>
              <w:bottom w:val="single" w:sz="4" w:space="0" w:color="auto"/>
              <w:right w:val="single" w:sz="4" w:space="0" w:color="auto"/>
            </w:tcBorders>
            <w:shd w:val="clear" w:color="000000" w:fill="F2F2F2"/>
            <w:noWrap/>
            <w:vAlign w:val="bottom"/>
            <w:hideMark/>
          </w:tcPr>
          <w:p w14:paraId="7349814E"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222</w:t>
            </w:r>
          </w:p>
        </w:tc>
        <w:tc>
          <w:tcPr>
            <w:tcW w:w="419" w:type="pct"/>
            <w:tcBorders>
              <w:top w:val="nil"/>
              <w:left w:val="nil"/>
              <w:bottom w:val="single" w:sz="4" w:space="0" w:color="auto"/>
              <w:right w:val="single" w:sz="4" w:space="0" w:color="auto"/>
            </w:tcBorders>
            <w:shd w:val="clear" w:color="000000" w:fill="F2F2F2"/>
            <w:noWrap/>
            <w:vAlign w:val="bottom"/>
            <w:hideMark/>
          </w:tcPr>
          <w:p w14:paraId="65F272F0"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256</w:t>
            </w:r>
          </w:p>
        </w:tc>
        <w:tc>
          <w:tcPr>
            <w:tcW w:w="376" w:type="pct"/>
            <w:tcBorders>
              <w:top w:val="nil"/>
              <w:left w:val="nil"/>
              <w:bottom w:val="single" w:sz="4" w:space="0" w:color="auto"/>
              <w:right w:val="single" w:sz="4" w:space="0" w:color="auto"/>
            </w:tcBorders>
            <w:shd w:val="clear" w:color="000000" w:fill="F2F2F2"/>
            <w:noWrap/>
            <w:vAlign w:val="bottom"/>
            <w:hideMark/>
          </w:tcPr>
          <w:p w14:paraId="213046B8"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244</w:t>
            </w:r>
          </w:p>
        </w:tc>
        <w:tc>
          <w:tcPr>
            <w:tcW w:w="346" w:type="pct"/>
            <w:tcBorders>
              <w:top w:val="nil"/>
              <w:left w:val="nil"/>
              <w:bottom w:val="single" w:sz="4" w:space="0" w:color="auto"/>
              <w:right w:val="single" w:sz="4" w:space="0" w:color="auto"/>
            </w:tcBorders>
            <w:shd w:val="clear" w:color="000000" w:fill="F2F2F2"/>
            <w:noWrap/>
            <w:vAlign w:val="bottom"/>
            <w:hideMark/>
          </w:tcPr>
          <w:p w14:paraId="5415B90A"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234</w:t>
            </w:r>
          </w:p>
        </w:tc>
        <w:tc>
          <w:tcPr>
            <w:tcW w:w="397" w:type="pct"/>
            <w:tcBorders>
              <w:top w:val="nil"/>
              <w:left w:val="nil"/>
              <w:bottom w:val="single" w:sz="4" w:space="0" w:color="auto"/>
              <w:right w:val="single" w:sz="4" w:space="0" w:color="auto"/>
            </w:tcBorders>
            <w:shd w:val="clear" w:color="000000" w:fill="F2F2F2"/>
            <w:noWrap/>
            <w:vAlign w:val="bottom"/>
            <w:hideMark/>
          </w:tcPr>
          <w:p w14:paraId="60689750"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254</w:t>
            </w:r>
          </w:p>
        </w:tc>
        <w:tc>
          <w:tcPr>
            <w:tcW w:w="388" w:type="pct"/>
            <w:tcBorders>
              <w:top w:val="nil"/>
              <w:left w:val="nil"/>
              <w:bottom w:val="single" w:sz="4" w:space="0" w:color="auto"/>
              <w:right w:val="single" w:sz="4" w:space="0" w:color="auto"/>
            </w:tcBorders>
            <w:shd w:val="clear" w:color="000000" w:fill="F2F2F2"/>
            <w:noWrap/>
            <w:vAlign w:val="bottom"/>
            <w:hideMark/>
          </w:tcPr>
          <w:p w14:paraId="2781BA5F"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237</w:t>
            </w:r>
          </w:p>
        </w:tc>
        <w:tc>
          <w:tcPr>
            <w:tcW w:w="381" w:type="pct"/>
            <w:tcBorders>
              <w:top w:val="nil"/>
              <w:left w:val="nil"/>
              <w:bottom w:val="single" w:sz="4" w:space="0" w:color="auto"/>
              <w:right w:val="single" w:sz="4" w:space="0" w:color="auto"/>
            </w:tcBorders>
            <w:shd w:val="clear" w:color="000000" w:fill="F2F2F2"/>
            <w:noWrap/>
            <w:vAlign w:val="bottom"/>
            <w:hideMark/>
          </w:tcPr>
          <w:p w14:paraId="36D78DFA"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296</w:t>
            </w:r>
          </w:p>
        </w:tc>
        <w:tc>
          <w:tcPr>
            <w:tcW w:w="402" w:type="pct"/>
            <w:tcBorders>
              <w:top w:val="nil"/>
              <w:left w:val="nil"/>
              <w:bottom w:val="single" w:sz="4" w:space="0" w:color="auto"/>
              <w:right w:val="single" w:sz="4" w:space="0" w:color="auto"/>
            </w:tcBorders>
            <w:shd w:val="clear" w:color="000000" w:fill="F2F2F2"/>
            <w:noWrap/>
            <w:vAlign w:val="bottom"/>
            <w:hideMark/>
          </w:tcPr>
          <w:p w14:paraId="066E83E5"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141</w:t>
            </w:r>
          </w:p>
        </w:tc>
        <w:tc>
          <w:tcPr>
            <w:tcW w:w="393" w:type="pct"/>
            <w:tcBorders>
              <w:top w:val="nil"/>
              <w:left w:val="nil"/>
              <w:bottom w:val="single" w:sz="4" w:space="0" w:color="auto"/>
              <w:right w:val="single" w:sz="4" w:space="0" w:color="auto"/>
            </w:tcBorders>
            <w:shd w:val="clear" w:color="000000" w:fill="F2F2F2"/>
            <w:noWrap/>
            <w:vAlign w:val="bottom"/>
            <w:hideMark/>
          </w:tcPr>
          <w:p w14:paraId="58C69406"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147</w:t>
            </w:r>
          </w:p>
        </w:tc>
        <w:tc>
          <w:tcPr>
            <w:tcW w:w="372" w:type="pct"/>
            <w:tcBorders>
              <w:top w:val="nil"/>
              <w:left w:val="nil"/>
              <w:bottom w:val="single" w:sz="4" w:space="0" w:color="auto"/>
              <w:right w:val="single" w:sz="4" w:space="0" w:color="auto"/>
            </w:tcBorders>
            <w:shd w:val="clear" w:color="000000" w:fill="F2F2F2"/>
            <w:noWrap/>
            <w:vAlign w:val="bottom"/>
            <w:hideMark/>
          </w:tcPr>
          <w:p w14:paraId="55298DFC"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133</w:t>
            </w:r>
          </w:p>
        </w:tc>
        <w:tc>
          <w:tcPr>
            <w:tcW w:w="388" w:type="pct"/>
            <w:tcBorders>
              <w:top w:val="nil"/>
              <w:left w:val="nil"/>
              <w:bottom w:val="single" w:sz="4" w:space="0" w:color="auto"/>
              <w:right w:val="single" w:sz="4" w:space="0" w:color="auto"/>
            </w:tcBorders>
            <w:shd w:val="clear" w:color="000000" w:fill="F2F2F2"/>
            <w:noWrap/>
            <w:vAlign w:val="bottom"/>
            <w:hideMark/>
          </w:tcPr>
          <w:p w14:paraId="3638D44A"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137</w:t>
            </w:r>
          </w:p>
        </w:tc>
        <w:tc>
          <w:tcPr>
            <w:tcW w:w="408" w:type="pct"/>
            <w:tcBorders>
              <w:top w:val="nil"/>
              <w:left w:val="nil"/>
              <w:bottom w:val="single" w:sz="4" w:space="0" w:color="auto"/>
              <w:right w:val="single" w:sz="4" w:space="0" w:color="auto"/>
            </w:tcBorders>
            <w:shd w:val="clear" w:color="000000" w:fill="F2F2F2"/>
            <w:noWrap/>
            <w:vAlign w:val="bottom"/>
            <w:hideMark/>
          </w:tcPr>
          <w:p w14:paraId="3D34E942"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100</w:t>
            </w:r>
          </w:p>
        </w:tc>
      </w:tr>
      <w:tr w:rsidR="00A81992" w:rsidRPr="00A81992" w14:paraId="69A61EB4" w14:textId="77777777" w:rsidTr="00C262DB">
        <w:trPr>
          <w:trHeight w:val="272"/>
        </w:trPr>
        <w:tc>
          <w:tcPr>
            <w:tcW w:w="344" w:type="pct"/>
            <w:tcBorders>
              <w:top w:val="nil"/>
              <w:left w:val="single" w:sz="4" w:space="0" w:color="auto"/>
              <w:bottom w:val="single" w:sz="4" w:space="0" w:color="auto"/>
              <w:right w:val="single" w:sz="4" w:space="0" w:color="auto"/>
            </w:tcBorders>
            <w:shd w:val="clear" w:color="000000" w:fill="92D050"/>
            <w:noWrap/>
            <w:vAlign w:val="bottom"/>
            <w:hideMark/>
          </w:tcPr>
          <w:p w14:paraId="4806FDDB" w14:textId="77777777" w:rsidR="00A81992" w:rsidRPr="00A81992" w:rsidRDefault="00A81992" w:rsidP="00A81992">
            <w:pPr>
              <w:spacing w:after="0"/>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LNW</w:t>
            </w:r>
          </w:p>
        </w:tc>
        <w:tc>
          <w:tcPr>
            <w:tcW w:w="385" w:type="pct"/>
            <w:tcBorders>
              <w:top w:val="nil"/>
              <w:left w:val="nil"/>
              <w:bottom w:val="single" w:sz="4" w:space="0" w:color="auto"/>
              <w:right w:val="single" w:sz="4" w:space="0" w:color="auto"/>
            </w:tcBorders>
            <w:shd w:val="clear" w:color="000000" w:fill="F2F2F2"/>
            <w:noWrap/>
            <w:vAlign w:val="bottom"/>
            <w:hideMark/>
          </w:tcPr>
          <w:p w14:paraId="4F459C31"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97</w:t>
            </w:r>
          </w:p>
        </w:tc>
        <w:tc>
          <w:tcPr>
            <w:tcW w:w="419" w:type="pct"/>
            <w:tcBorders>
              <w:top w:val="nil"/>
              <w:left w:val="nil"/>
              <w:bottom w:val="single" w:sz="4" w:space="0" w:color="auto"/>
              <w:right w:val="single" w:sz="4" w:space="0" w:color="auto"/>
            </w:tcBorders>
            <w:shd w:val="clear" w:color="000000" w:fill="F2F2F2"/>
            <w:noWrap/>
            <w:vAlign w:val="bottom"/>
            <w:hideMark/>
          </w:tcPr>
          <w:p w14:paraId="3C85D147"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143</w:t>
            </w:r>
          </w:p>
        </w:tc>
        <w:tc>
          <w:tcPr>
            <w:tcW w:w="376" w:type="pct"/>
            <w:tcBorders>
              <w:top w:val="nil"/>
              <w:left w:val="nil"/>
              <w:bottom w:val="single" w:sz="4" w:space="0" w:color="auto"/>
              <w:right w:val="single" w:sz="4" w:space="0" w:color="auto"/>
            </w:tcBorders>
            <w:shd w:val="clear" w:color="000000" w:fill="F2F2F2"/>
            <w:noWrap/>
            <w:vAlign w:val="bottom"/>
            <w:hideMark/>
          </w:tcPr>
          <w:p w14:paraId="74BA6396"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311</w:t>
            </w:r>
          </w:p>
        </w:tc>
        <w:tc>
          <w:tcPr>
            <w:tcW w:w="346" w:type="pct"/>
            <w:tcBorders>
              <w:top w:val="nil"/>
              <w:left w:val="nil"/>
              <w:bottom w:val="single" w:sz="4" w:space="0" w:color="auto"/>
              <w:right w:val="single" w:sz="4" w:space="0" w:color="auto"/>
            </w:tcBorders>
            <w:shd w:val="clear" w:color="000000" w:fill="F2F2F2"/>
            <w:noWrap/>
            <w:vAlign w:val="bottom"/>
            <w:hideMark/>
          </w:tcPr>
          <w:p w14:paraId="2D8B66AE"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158</w:t>
            </w:r>
          </w:p>
        </w:tc>
        <w:tc>
          <w:tcPr>
            <w:tcW w:w="397" w:type="pct"/>
            <w:tcBorders>
              <w:top w:val="nil"/>
              <w:left w:val="nil"/>
              <w:bottom w:val="single" w:sz="4" w:space="0" w:color="auto"/>
              <w:right w:val="single" w:sz="4" w:space="0" w:color="auto"/>
            </w:tcBorders>
            <w:shd w:val="clear" w:color="000000" w:fill="F2F2F2"/>
            <w:noWrap/>
            <w:vAlign w:val="bottom"/>
            <w:hideMark/>
          </w:tcPr>
          <w:p w14:paraId="57EEFE58"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125</w:t>
            </w:r>
          </w:p>
        </w:tc>
        <w:tc>
          <w:tcPr>
            <w:tcW w:w="388" w:type="pct"/>
            <w:tcBorders>
              <w:top w:val="nil"/>
              <w:left w:val="nil"/>
              <w:bottom w:val="single" w:sz="4" w:space="0" w:color="auto"/>
              <w:right w:val="single" w:sz="4" w:space="0" w:color="auto"/>
            </w:tcBorders>
            <w:shd w:val="clear" w:color="000000" w:fill="F2F2F2"/>
            <w:noWrap/>
            <w:vAlign w:val="bottom"/>
            <w:hideMark/>
          </w:tcPr>
          <w:p w14:paraId="06A06DB5"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96</w:t>
            </w:r>
          </w:p>
        </w:tc>
        <w:tc>
          <w:tcPr>
            <w:tcW w:w="381" w:type="pct"/>
            <w:tcBorders>
              <w:top w:val="nil"/>
              <w:left w:val="nil"/>
              <w:bottom w:val="single" w:sz="4" w:space="0" w:color="auto"/>
              <w:right w:val="single" w:sz="4" w:space="0" w:color="auto"/>
            </w:tcBorders>
            <w:shd w:val="clear" w:color="000000" w:fill="F2F2F2"/>
            <w:noWrap/>
            <w:vAlign w:val="bottom"/>
            <w:hideMark/>
          </w:tcPr>
          <w:p w14:paraId="539D7645"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171</w:t>
            </w:r>
          </w:p>
        </w:tc>
        <w:tc>
          <w:tcPr>
            <w:tcW w:w="402" w:type="pct"/>
            <w:tcBorders>
              <w:top w:val="nil"/>
              <w:left w:val="nil"/>
              <w:bottom w:val="single" w:sz="4" w:space="0" w:color="auto"/>
              <w:right w:val="single" w:sz="4" w:space="0" w:color="auto"/>
            </w:tcBorders>
            <w:shd w:val="clear" w:color="000000" w:fill="F2F2F2"/>
            <w:noWrap/>
            <w:vAlign w:val="bottom"/>
            <w:hideMark/>
          </w:tcPr>
          <w:p w14:paraId="5ACF13C6"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160</w:t>
            </w:r>
          </w:p>
        </w:tc>
        <w:tc>
          <w:tcPr>
            <w:tcW w:w="393" w:type="pct"/>
            <w:tcBorders>
              <w:top w:val="nil"/>
              <w:left w:val="nil"/>
              <w:bottom w:val="single" w:sz="4" w:space="0" w:color="auto"/>
              <w:right w:val="single" w:sz="4" w:space="0" w:color="auto"/>
            </w:tcBorders>
            <w:shd w:val="clear" w:color="000000" w:fill="F2F2F2"/>
            <w:noWrap/>
            <w:vAlign w:val="bottom"/>
            <w:hideMark/>
          </w:tcPr>
          <w:p w14:paraId="5536838C"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105</w:t>
            </w:r>
          </w:p>
        </w:tc>
        <w:tc>
          <w:tcPr>
            <w:tcW w:w="372" w:type="pct"/>
            <w:tcBorders>
              <w:top w:val="nil"/>
              <w:left w:val="nil"/>
              <w:bottom w:val="single" w:sz="4" w:space="0" w:color="auto"/>
              <w:right w:val="single" w:sz="4" w:space="0" w:color="auto"/>
            </w:tcBorders>
            <w:shd w:val="clear" w:color="000000" w:fill="F2F2F2"/>
            <w:noWrap/>
            <w:vAlign w:val="bottom"/>
            <w:hideMark/>
          </w:tcPr>
          <w:p w14:paraId="27616BED"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155</w:t>
            </w:r>
          </w:p>
        </w:tc>
        <w:tc>
          <w:tcPr>
            <w:tcW w:w="388" w:type="pct"/>
            <w:tcBorders>
              <w:top w:val="nil"/>
              <w:left w:val="nil"/>
              <w:bottom w:val="single" w:sz="4" w:space="0" w:color="auto"/>
              <w:right w:val="single" w:sz="4" w:space="0" w:color="auto"/>
            </w:tcBorders>
            <w:shd w:val="clear" w:color="000000" w:fill="F2F2F2"/>
            <w:noWrap/>
            <w:vAlign w:val="bottom"/>
            <w:hideMark/>
          </w:tcPr>
          <w:p w14:paraId="5F76234F"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51</w:t>
            </w:r>
          </w:p>
        </w:tc>
        <w:tc>
          <w:tcPr>
            <w:tcW w:w="408" w:type="pct"/>
            <w:tcBorders>
              <w:top w:val="nil"/>
              <w:left w:val="nil"/>
              <w:bottom w:val="single" w:sz="4" w:space="0" w:color="auto"/>
              <w:right w:val="single" w:sz="4" w:space="0" w:color="auto"/>
            </w:tcBorders>
            <w:shd w:val="clear" w:color="000000" w:fill="F2F2F2"/>
            <w:noWrap/>
            <w:vAlign w:val="bottom"/>
            <w:hideMark/>
          </w:tcPr>
          <w:p w14:paraId="52358117"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96</w:t>
            </w:r>
          </w:p>
        </w:tc>
      </w:tr>
      <w:tr w:rsidR="00A81992" w:rsidRPr="00A81992" w14:paraId="41423A5A" w14:textId="77777777" w:rsidTr="00C262DB">
        <w:trPr>
          <w:trHeight w:val="272"/>
        </w:trPr>
        <w:tc>
          <w:tcPr>
            <w:tcW w:w="344" w:type="pct"/>
            <w:tcBorders>
              <w:top w:val="nil"/>
              <w:left w:val="single" w:sz="4" w:space="0" w:color="auto"/>
              <w:bottom w:val="single" w:sz="4" w:space="0" w:color="auto"/>
              <w:right w:val="single" w:sz="4" w:space="0" w:color="auto"/>
            </w:tcBorders>
            <w:shd w:val="clear" w:color="000000" w:fill="92D050"/>
            <w:noWrap/>
            <w:vAlign w:val="bottom"/>
            <w:hideMark/>
          </w:tcPr>
          <w:p w14:paraId="24F4C6F2" w14:textId="77777777" w:rsidR="00A81992" w:rsidRPr="00A81992" w:rsidRDefault="00A81992" w:rsidP="00A81992">
            <w:pPr>
              <w:spacing w:after="0"/>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ICH</w:t>
            </w:r>
          </w:p>
        </w:tc>
        <w:tc>
          <w:tcPr>
            <w:tcW w:w="385" w:type="pct"/>
            <w:tcBorders>
              <w:top w:val="nil"/>
              <w:left w:val="nil"/>
              <w:bottom w:val="single" w:sz="4" w:space="0" w:color="auto"/>
              <w:right w:val="single" w:sz="4" w:space="0" w:color="auto"/>
            </w:tcBorders>
            <w:shd w:val="clear" w:color="000000" w:fill="F2F2F2"/>
            <w:noWrap/>
            <w:vAlign w:val="bottom"/>
            <w:hideMark/>
          </w:tcPr>
          <w:p w14:paraId="5D80E670"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31</w:t>
            </w:r>
          </w:p>
        </w:tc>
        <w:tc>
          <w:tcPr>
            <w:tcW w:w="419" w:type="pct"/>
            <w:tcBorders>
              <w:top w:val="nil"/>
              <w:left w:val="nil"/>
              <w:bottom w:val="single" w:sz="4" w:space="0" w:color="auto"/>
              <w:right w:val="single" w:sz="4" w:space="0" w:color="auto"/>
            </w:tcBorders>
            <w:shd w:val="clear" w:color="000000" w:fill="F2F2F2"/>
            <w:noWrap/>
            <w:vAlign w:val="bottom"/>
            <w:hideMark/>
          </w:tcPr>
          <w:p w14:paraId="35153D31"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41</w:t>
            </w:r>
          </w:p>
        </w:tc>
        <w:tc>
          <w:tcPr>
            <w:tcW w:w="376" w:type="pct"/>
            <w:tcBorders>
              <w:top w:val="nil"/>
              <w:left w:val="nil"/>
              <w:bottom w:val="single" w:sz="4" w:space="0" w:color="auto"/>
              <w:right w:val="single" w:sz="4" w:space="0" w:color="auto"/>
            </w:tcBorders>
            <w:shd w:val="clear" w:color="000000" w:fill="F2F2F2"/>
            <w:noWrap/>
            <w:vAlign w:val="bottom"/>
            <w:hideMark/>
          </w:tcPr>
          <w:p w14:paraId="0AD946DD"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67</w:t>
            </w:r>
          </w:p>
        </w:tc>
        <w:tc>
          <w:tcPr>
            <w:tcW w:w="346" w:type="pct"/>
            <w:tcBorders>
              <w:top w:val="nil"/>
              <w:left w:val="nil"/>
              <w:bottom w:val="single" w:sz="4" w:space="0" w:color="auto"/>
              <w:right w:val="single" w:sz="4" w:space="0" w:color="auto"/>
            </w:tcBorders>
            <w:shd w:val="clear" w:color="000000" w:fill="F2F2F2"/>
            <w:noWrap/>
            <w:vAlign w:val="bottom"/>
            <w:hideMark/>
          </w:tcPr>
          <w:p w14:paraId="4C803964"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121</w:t>
            </w:r>
          </w:p>
        </w:tc>
        <w:tc>
          <w:tcPr>
            <w:tcW w:w="397" w:type="pct"/>
            <w:tcBorders>
              <w:top w:val="nil"/>
              <w:left w:val="nil"/>
              <w:bottom w:val="single" w:sz="4" w:space="0" w:color="auto"/>
              <w:right w:val="single" w:sz="4" w:space="0" w:color="auto"/>
            </w:tcBorders>
            <w:shd w:val="clear" w:color="000000" w:fill="F2F2F2"/>
            <w:noWrap/>
            <w:vAlign w:val="bottom"/>
            <w:hideMark/>
          </w:tcPr>
          <w:p w14:paraId="6E269880"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156</w:t>
            </w:r>
          </w:p>
        </w:tc>
        <w:tc>
          <w:tcPr>
            <w:tcW w:w="388" w:type="pct"/>
            <w:tcBorders>
              <w:top w:val="nil"/>
              <w:left w:val="nil"/>
              <w:bottom w:val="single" w:sz="4" w:space="0" w:color="auto"/>
              <w:right w:val="single" w:sz="4" w:space="0" w:color="auto"/>
            </w:tcBorders>
            <w:shd w:val="clear" w:color="000000" w:fill="F2F2F2"/>
            <w:noWrap/>
            <w:vAlign w:val="bottom"/>
            <w:hideMark/>
          </w:tcPr>
          <w:p w14:paraId="59B56B46"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114</w:t>
            </w:r>
          </w:p>
        </w:tc>
        <w:tc>
          <w:tcPr>
            <w:tcW w:w="381" w:type="pct"/>
            <w:tcBorders>
              <w:top w:val="nil"/>
              <w:left w:val="nil"/>
              <w:bottom w:val="single" w:sz="4" w:space="0" w:color="auto"/>
              <w:right w:val="single" w:sz="4" w:space="0" w:color="auto"/>
            </w:tcBorders>
            <w:shd w:val="clear" w:color="000000" w:fill="F2F2F2"/>
            <w:noWrap/>
            <w:vAlign w:val="bottom"/>
            <w:hideMark/>
          </w:tcPr>
          <w:p w14:paraId="1FE1312D"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143</w:t>
            </w:r>
          </w:p>
        </w:tc>
        <w:tc>
          <w:tcPr>
            <w:tcW w:w="402" w:type="pct"/>
            <w:tcBorders>
              <w:top w:val="nil"/>
              <w:left w:val="nil"/>
              <w:bottom w:val="single" w:sz="4" w:space="0" w:color="auto"/>
              <w:right w:val="single" w:sz="4" w:space="0" w:color="auto"/>
            </w:tcBorders>
            <w:shd w:val="clear" w:color="000000" w:fill="F2F2F2"/>
            <w:noWrap/>
            <w:vAlign w:val="bottom"/>
            <w:hideMark/>
          </w:tcPr>
          <w:p w14:paraId="1D284F89"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124</w:t>
            </w:r>
          </w:p>
        </w:tc>
        <w:tc>
          <w:tcPr>
            <w:tcW w:w="393" w:type="pct"/>
            <w:tcBorders>
              <w:top w:val="nil"/>
              <w:left w:val="nil"/>
              <w:bottom w:val="single" w:sz="4" w:space="0" w:color="auto"/>
              <w:right w:val="single" w:sz="4" w:space="0" w:color="auto"/>
            </w:tcBorders>
            <w:shd w:val="clear" w:color="000000" w:fill="F2F2F2"/>
            <w:noWrap/>
            <w:vAlign w:val="bottom"/>
            <w:hideMark/>
          </w:tcPr>
          <w:p w14:paraId="2E7FF97C"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64</w:t>
            </w:r>
          </w:p>
        </w:tc>
        <w:tc>
          <w:tcPr>
            <w:tcW w:w="372" w:type="pct"/>
            <w:tcBorders>
              <w:top w:val="nil"/>
              <w:left w:val="nil"/>
              <w:bottom w:val="single" w:sz="4" w:space="0" w:color="auto"/>
              <w:right w:val="single" w:sz="4" w:space="0" w:color="auto"/>
            </w:tcBorders>
            <w:shd w:val="clear" w:color="000000" w:fill="F2F2F2"/>
            <w:noWrap/>
            <w:vAlign w:val="bottom"/>
            <w:hideMark/>
          </w:tcPr>
          <w:p w14:paraId="7E92E528"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73</w:t>
            </w:r>
          </w:p>
        </w:tc>
        <w:tc>
          <w:tcPr>
            <w:tcW w:w="388" w:type="pct"/>
            <w:tcBorders>
              <w:top w:val="nil"/>
              <w:left w:val="nil"/>
              <w:bottom w:val="single" w:sz="4" w:space="0" w:color="auto"/>
              <w:right w:val="single" w:sz="4" w:space="0" w:color="auto"/>
            </w:tcBorders>
            <w:shd w:val="clear" w:color="000000" w:fill="F2F2F2"/>
            <w:noWrap/>
            <w:vAlign w:val="bottom"/>
            <w:hideMark/>
          </w:tcPr>
          <w:p w14:paraId="646E2AF0"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49</w:t>
            </w:r>
          </w:p>
        </w:tc>
        <w:tc>
          <w:tcPr>
            <w:tcW w:w="408" w:type="pct"/>
            <w:tcBorders>
              <w:top w:val="nil"/>
              <w:left w:val="nil"/>
              <w:bottom w:val="single" w:sz="4" w:space="0" w:color="auto"/>
              <w:right w:val="single" w:sz="4" w:space="0" w:color="auto"/>
            </w:tcBorders>
            <w:shd w:val="clear" w:color="000000" w:fill="F2F2F2"/>
            <w:noWrap/>
            <w:vAlign w:val="bottom"/>
            <w:hideMark/>
          </w:tcPr>
          <w:p w14:paraId="71721951"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91</w:t>
            </w:r>
          </w:p>
        </w:tc>
      </w:tr>
      <w:tr w:rsidR="00A81992" w:rsidRPr="00A81992" w14:paraId="4AAF0DDF" w14:textId="77777777" w:rsidTr="00C262DB">
        <w:trPr>
          <w:trHeight w:val="272"/>
        </w:trPr>
        <w:tc>
          <w:tcPr>
            <w:tcW w:w="344" w:type="pct"/>
            <w:tcBorders>
              <w:top w:val="nil"/>
              <w:left w:val="single" w:sz="4" w:space="0" w:color="auto"/>
              <w:bottom w:val="single" w:sz="4" w:space="0" w:color="auto"/>
              <w:right w:val="single" w:sz="4" w:space="0" w:color="auto"/>
            </w:tcBorders>
            <w:shd w:val="clear" w:color="000000" w:fill="92D050"/>
            <w:noWrap/>
            <w:vAlign w:val="bottom"/>
            <w:hideMark/>
          </w:tcPr>
          <w:p w14:paraId="24C56756" w14:textId="77777777" w:rsidR="00A81992" w:rsidRPr="00A81992" w:rsidRDefault="00A81992" w:rsidP="00A81992">
            <w:pPr>
              <w:spacing w:after="0"/>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THH</w:t>
            </w:r>
          </w:p>
        </w:tc>
        <w:tc>
          <w:tcPr>
            <w:tcW w:w="385" w:type="pct"/>
            <w:tcBorders>
              <w:top w:val="nil"/>
              <w:left w:val="nil"/>
              <w:bottom w:val="single" w:sz="4" w:space="0" w:color="auto"/>
              <w:right w:val="single" w:sz="4" w:space="0" w:color="auto"/>
            </w:tcBorders>
            <w:shd w:val="clear" w:color="000000" w:fill="F2F2F2"/>
            <w:noWrap/>
            <w:vAlign w:val="bottom"/>
            <w:hideMark/>
          </w:tcPr>
          <w:p w14:paraId="441A2383"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99</w:t>
            </w:r>
          </w:p>
        </w:tc>
        <w:tc>
          <w:tcPr>
            <w:tcW w:w="419" w:type="pct"/>
            <w:tcBorders>
              <w:top w:val="nil"/>
              <w:left w:val="nil"/>
              <w:bottom w:val="single" w:sz="4" w:space="0" w:color="auto"/>
              <w:right w:val="single" w:sz="4" w:space="0" w:color="auto"/>
            </w:tcBorders>
            <w:shd w:val="clear" w:color="000000" w:fill="F2F2F2"/>
            <w:noWrap/>
            <w:vAlign w:val="bottom"/>
            <w:hideMark/>
          </w:tcPr>
          <w:p w14:paraId="39D12731"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144</w:t>
            </w:r>
          </w:p>
        </w:tc>
        <w:tc>
          <w:tcPr>
            <w:tcW w:w="376" w:type="pct"/>
            <w:tcBorders>
              <w:top w:val="nil"/>
              <w:left w:val="nil"/>
              <w:bottom w:val="single" w:sz="4" w:space="0" w:color="auto"/>
              <w:right w:val="single" w:sz="4" w:space="0" w:color="auto"/>
            </w:tcBorders>
            <w:shd w:val="clear" w:color="000000" w:fill="F2F2F2"/>
            <w:noWrap/>
            <w:vAlign w:val="bottom"/>
            <w:hideMark/>
          </w:tcPr>
          <w:p w14:paraId="27D94B09"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100</w:t>
            </w:r>
          </w:p>
        </w:tc>
        <w:tc>
          <w:tcPr>
            <w:tcW w:w="346" w:type="pct"/>
            <w:tcBorders>
              <w:top w:val="nil"/>
              <w:left w:val="nil"/>
              <w:bottom w:val="single" w:sz="4" w:space="0" w:color="auto"/>
              <w:right w:val="single" w:sz="4" w:space="0" w:color="auto"/>
            </w:tcBorders>
            <w:shd w:val="clear" w:color="000000" w:fill="F2F2F2"/>
            <w:noWrap/>
            <w:vAlign w:val="bottom"/>
            <w:hideMark/>
          </w:tcPr>
          <w:p w14:paraId="56204FA4"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234</w:t>
            </w:r>
          </w:p>
        </w:tc>
        <w:tc>
          <w:tcPr>
            <w:tcW w:w="397" w:type="pct"/>
            <w:tcBorders>
              <w:top w:val="nil"/>
              <w:left w:val="nil"/>
              <w:bottom w:val="single" w:sz="4" w:space="0" w:color="auto"/>
              <w:right w:val="single" w:sz="4" w:space="0" w:color="auto"/>
            </w:tcBorders>
            <w:shd w:val="clear" w:color="000000" w:fill="F2F2F2"/>
            <w:noWrap/>
            <w:vAlign w:val="bottom"/>
            <w:hideMark/>
          </w:tcPr>
          <w:p w14:paraId="309C2956"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85</w:t>
            </w:r>
          </w:p>
        </w:tc>
        <w:tc>
          <w:tcPr>
            <w:tcW w:w="388" w:type="pct"/>
            <w:tcBorders>
              <w:top w:val="nil"/>
              <w:left w:val="nil"/>
              <w:bottom w:val="single" w:sz="4" w:space="0" w:color="auto"/>
              <w:right w:val="single" w:sz="4" w:space="0" w:color="auto"/>
            </w:tcBorders>
            <w:shd w:val="clear" w:color="000000" w:fill="F2F2F2"/>
            <w:noWrap/>
            <w:vAlign w:val="bottom"/>
            <w:hideMark/>
          </w:tcPr>
          <w:p w14:paraId="71EA8B27"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67</w:t>
            </w:r>
          </w:p>
        </w:tc>
        <w:tc>
          <w:tcPr>
            <w:tcW w:w="381" w:type="pct"/>
            <w:tcBorders>
              <w:top w:val="nil"/>
              <w:left w:val="nil"/>
              <w:bottom w:val="single" w:sz="4" w:space="0" w:color="auto"/>
              <w:right w:val="single" w:sz="4" w:space="0" w:color="auto"/>
            </w:tcBorders>
            <w:shd w:val="clear" w:color="000000" w:fill="F2F2F2"/>
            <w:noWrap/>
            <w:vAlign w:val="bottom"/>
            <w:hideMark/>
          </w:tcPr>
          <w:p w14:paraId="4DE938E0"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26</w:t>
            </w:r>
          </w:p>
        </w:tc>
        <w:tc>
          <w:tcPr>
            <w:tcW w:w="402" w:type="pct"/>
            <w:tcBorders>
              <w:top w:val="nil"/>
              <w:left w:val="nil"/>
              <w:bottom w:val="single" w:sz="4" w:space="0" w:color="auto"/>
              <w:right w:val="single" w:sz="4" w:space="0" w:color="auto"/>
            </w:tcBorders>
            <w:shd w:val="clear" w:color="000000" w:fill="F2F2F2"/>
            <w:noWrap/>
            <w:vAlign w:val="bottom"/>
            <w:hideMark/>
          </w:tcPr>
          <w:p w14:paraId="0737BDD3"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24</w:t>
            </w:r>
          </w:p>
        </w:tc>
        <w:tc>
          <w:tcPr>
            <w:tcW w:w="393" w:type="pct"/>
            <w:tcBorders>
              <w:top w:val="nil"/>
              <w:left w:val="nil"/>
              <w:bottom w:val="single" w:sz="4" w:space="0" w:color="auto"/>
              <w:right w:val="single" w:sz="4" w:space="0" w:color="auto"/>
            </w:tcBorders>
            <w:shd w:val="clear" w:color="000000" w:fill="F2F2F2"/>
            <w:noWrap/>
            <w:vAlign w:val="bottom"/>
            <w:hideMark/>
          </w:tcPr>
          <w:p w14:paraId="0079EFF8"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74</w:t>
            </w:r>
          </w:p>
        </w:tc>
        <w:tc>
          <w:tcPr>
            <w:tcW w:w="372" w:type="pct"/>
            <w:tcBorders>
              <w:top w:val="nil"/>
              <w:left w:val="nil"/>
              <w:bottom w:val="single" w:sz="4" w:space="0" w:color="auto"/>
              <w:right w:val="single" w:sz="4" w:space="0" w:color="auto"/>
            </w:tcBorders>
            <w:shd w:val="clear" w:color="000000" w:fill="F2F2F2"/>
            <w:noWrap/>
            <w:vAlign w:val="bottom"/>
            <w:hideMark/>
          </w:tcPr>
          <w:p w14:paraId="60F7A5EE"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3</w:t>
            </w:r>
          </w:p>
        </w:tc>
        <w:tc>
          <w:tcPr>
            <w:tcW w:w="388" w:type="pct"/>
            <w:tcBorders>
              <w:top w:val="nil"/>
              <w:left w:val="nil"/>
              <w:bottom w:val="single" w:sz="4" w:space="0" w:color="auto"/>
              <w:right w:val="single" w:sz="4" w:space="0" w:color="auto"/>
            </w:tcBorders>
            <w:shd w:val="clear" w:color="000000" w:fill="F2F2F2"/>
            <w:noWrap/>
            <w:vAlign w:val="bottom"/>
            <w:hideMark/>
          </w:tcPr>
          <w:p w14:paraId="17A57514"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113</w:t>
            </w:r>
          </w:p>
        </w:tc>
        <w:tc>
          <w:tcPr>
            <w:tcW w:w="408" w:type="pct"/>
            <w:tcBorders>
              <w:top w:val="nil"/>
              <w:left w:val="nil"/>
              <w:bottom w:val="single" w:sz="4" w:space="0" w:color="auto"/>
              <w:right w:val="single" w:sz="4" w:space="0" w:color="auto"/>
            </w:tcBorders>
            <w:shd w:val="clear" w:color="000000" w:fill="F2F2F2"/>
            <w:noWrap/>
            <w:vAlign w:val="bottom"/>
            <w:hideMark/>
          </w:tcPr>
          <w:p w14:paraId="4189487F" w14:textId="77777777" w:rsidR="00A81992" w:rsidRPr="00A81992" w:rsidRDefault="00A81992" w:rsidP="00A81992">
            <w:pPr>
              <w:spacing w:after="0"/>
              <w:jc w:val="right"/>
              <w:rPr>
                <w:rFonts w:ascii="Calibri" w:eastAsia="Times New Roman" w:hAnsi="Calibri" w:cs="Calibri"/>
                <w:color w:val="000000"/>
                <w:sz w:val="22"/>
                <w:szCs w:val="22"/>
                <w:lang w:eastAsia="en-GB"/>
              </w:rPr>
            </w:pPr>
            <w:r w:rsidRPr="00A81992">
              <w:rPr>
                <w:rFonts w:ascii="Calibri" w:eastAsia="Times New Roman" w:hAnsi="Calibri" w:cs="Calibri"/>
                <w:color w:val="000000"/>
                <w:sz w:val="22"/>
                <w:szCs w:val="22"/>
                <w:lang w:eastAsia="en-GB"/>
              </w:rPr>
              <w:t>74</w:t>
            </w:r>
          </w:p>
        </w:tc>
      </w:tr>
    </w:tbl>
    <w:p w14:paraId="45619737" w14:textId="1BFB40D6" w:rsidR="00A81992" w:rsidRDefault="00A81992" w:rsidP="00CA5A3B">
      <w:pPr>
        <w:rPr>
          <w:rFonts w:cs="Arial"/>
          <w:sz w:val="22"/>
          <w:szCs w:val="22"/>
        </w:rPr>
      </w:pPr>
    </w:p>
    <w:p w14:paraId="145FE716" w14:textId="02DD063E" w:rsidR="00EC3951" w:rsidRDefault="00EC3951" w:rsidP="00CA5A3B">
      <w:pPr>
        <w:rPr>
          <w:rFonts w:cs="Arial"/>
          <w:sz w:val="22"/>
          <w:szCs w:val="22"/>
        </w:rPr>
      </w:pPr>
      <w:r>
        <w:rPr>
          <w:rFonts w:cs="Arial"/>
          <w:sz w:val="22"/>
          <w:szCs w:val="22"/>
        </w:rPr>
        <w:t xml:space="preserve">CWFT accounts for 40% of the total number of responses received for postnatal FFT across NWL. </w:t>
      </w:r>
      <w:r w:rsidR="00FF4AAF">
        <w:rPr>
          <w:rFonts w:cs="Arial"/>
          <w:sz w:val="22"/>
          <w:szCs w:val="22"/>
        </w:rPr>
        <w:t xml:space="preserve">The trends in the data both nationally and across NWL see similar dips and peaks as at CWFT, however women accessing postnatal ward care at CWFT consistently report a worsening experience. </w:t>
      </w:r>
    </w:p>
    <w:p w14:paraId="74453656" w14:textId="5A1B8CD0" w:rsidR="00FF4AAF" w:rsidRPr="00FF4AAF" w:rsidRDefault="00FF4AAF" w:rsidP="00CA5A3B">
      <w:pPr>
        <w:rPr>
          <w:rFonts w:cs="Arial"/>
          <w:sz w:val="22"/>
          <w:szCs w:val="22"/>
        </w:rPr>
      </w:pPr>
      <w:r>
        <w:rPr>
          <w:rFonts w:cs="Arial"/>
          <w:b/>
          <w:sz w:val="22"/>
          <w:szCs w:val="22"/>
        </w:rPr>
        <w:t xml:space="preserve">Action: </w:t>
      </w:r>
      <w:r>
        <w:rPr>
          <w:rFonts w:cs="Arial"/>
          <w:sz w:val="22"/>
          <w:szCs w:val="22"/>
        </w:rPr>
        <w:t>A postnatal patient experience working group was set up in October 2023, meeting on a bi-monthly basis, to oversee feedback themes and ensure there are robust processes in place to listen and act on this.</w:t>
      </w:r>
    </w:p>
    <w:p w14:paraId="110A6C55" w14:textId="77777777" w:rsidR="00B812EA" w:rsidRDefault="008151D1" w:rsidP="00CA5A3B">
      <w:pPr>
        <w:rPr>
          <w:rFonts w:cs="Arial"/>
          <w:sz w:val="22"/>
          <w:szCs w:val="22"/>
        </w:rPr>
      </w:pPr>
      <w:r>
        <w:rPr>
          <w:rFonts w:cs="Arial"/>
          <w:sz w:val="22"/>
          <w:szCs w:val="22"/>
        </w:rPr>
        <w:t>Generally speaking the themes from the FFT surveys across maternity mirror those seen in the national surveys and other audits – information provision, communication around care, compassionate care, pain management, discharge issues and involvement in treatment decisions. FFT is regularly shared with maternity leads across both sites to ensure it is being acted on.</w:t>
      </w:r>
      <w:r w:rsidR="00C3115B">
        <w:rPr>
          <w:rFonts w:cs="Arial"/>
          <w:sz w:val="22"/>
          <w:szCs w:val="22"/>
        </w:rPr>
        <w:t xml:space="preserve"> </w:t>
      </w:r>
    </w:p>
    <w:p w14:paraId="665B945F" w14:textId="7AB8726B" w:rsidR="00CA5A3B" w:rsidRDefault="00CB72A3" w:rsidP="00CA5A3B">
      <w:pPr>
        <w:rPr>
          <w:rFonts w:cs="Arial"/>
          <w:sz w:val="22"/>
          <w:szCs w:val="22"/>
        </w:rPr>
      </w:pPr>
      <w:r>
        <w:rPr>
          <w:rFonts w:cs="Arial"/>
          <w:sz w:val="22"/>
          <w:szCs w:val="22"/>
        </w:rPr>
        <w:t>Improvements that have been initiated in response to patient feedback include increased antenatal appointment times to give women more opportunities to discuss their concerns with the team, review and revision of patient information for induction</w:t>
      </w:r>
      <w:r w:rsidR="00B812EA">
        <w:rPr>
          <w:rFonts w:cs="Arial"/>
          <w:sz w:val="22"/>
          <w:szCs w:val="22"/>
        </w:rPr>
        <w:t xml:space="preserve"> of labour</w:t>
      </w:r>
      <w:r>
        <w:rPr>
          <w:rFonts w:cs="Arial"/>
          <w:sz w:val="22"/>
          <w:szCs w:val="22"/>
        </w:rPr>
        <w:t xml:space="preserve">, cue cards for staff to ensure they are asking about a woman’s mental health during appointments and a kindness campaign across the postnatal wards. </w:t>
      </w:r>
    </w:p>
    <w:p w14:paraId="645534A4" w14:textId="20E8122B" w:rsidR="00D3593E" w:rsidRDefault="00D3593E" w:rsidP="00CA5A3B">
      <w:pPr>
        <w:rPr>
          <w:rFonts w:cs="Arial"/>
          <w:sz w:val="22"/>
          <w:szCs w:val="22"/>
        </w:rPr>
      </w:pPr>
      <w:r>
        <w:rPr>
          <w:rFonts w:cs="Arial"/>
          <w:sz w:val="22"/>
          <w:szCs w:val="22"/>
        </w:rPr>
        <w:t xml:space="preserve">At the start of the 2024-25 year, the trust recruited new chairs of the Maternity and Neonatal Voices Partnership (MNVP) and this group will play a pivotal role in working with women on where </w:t>
      </w:r>
      <w:r>
        <w:rPr>
          <w:rFonts w:cs="Arial"/>
          <w:sz w:val="22"/>
          <w:szCs w:val="22"/>
        </w:rPr>
        <w:lastRenderedPageBreak/>
        <w:t xml:space="preserve">our improvements should be focused but more importantly, codesigning and coproducing </w:t>
      </w:r>
      <w:r w:rsidR="00B6124E">
        <w:rPr>
          <w:rFonts w:cs="Arial"/>
          <w:sz w:val="22"/>
          <w:szCs w:val="22"/>
        </w:rPr>
        <w:t>that improvement</w:t>
      </w:r>
      <w:r>
        <w:rPr>
          <w:rFonts w:cs="Arial"/>
          <w:sz w:val="22"/>
          <w:szCs w:val="22"/>
        </w:rPr>
        <w:t xml:space="preserve"> work.</w:t>
      </w:r>
    </w:p>
    <w:p w14:paraId="1926E5A4" w14:textId="05CA64CA" w:rsidR="00C3115B" w:rsidRDefault="00C3115B" w:rsidP="00CA5A3B">
      <w:pPr>
        <w:rPr>
          <w:rFonts w:cs="Arial"/>
          <w:sz w:val="22"/>
          <w:szCs w:val="22"/>
        </w:rPr>
      </w:pPr>
      <w:r>
        <w:rPr>
          <w:rFonts w:cs="Arial"/>
          <w:sz w:val="22"/>
          <w:szCs w:val="22"/>
        </w:rPr>
        <w:t>Lastly, whilst there are marginal differences between both sites when looking at the overall FFT satisfaction score across the whole maternity journey, West Middlesex University Hospital typically scores lower for postnatal ward experience and the site as a whole has received approximately 1300 less survey responses from women accessing maternity care.</w:t>
      </w:r>
    </w:p>
    <w:p w14:paraId="0D41F9A2" w14:textId="5411E797" w:rsidR="0037606B" w:rsidRDefault="00D3593E" w:rsidP="000117B5">
      <w:pPr>
        <w:rPr>
          <w:rFonts w:cs="Arial"/>
          <w:sz w:val="22"/>
          <w:szCs w:val="22"/>
          <w:u w:val="single"/>
        </w:rPr>
      </w:pPr>
      <w:r>
        <w:rPr>
          <w:rFonts w:cs="Arial"/>
          <w:sz w:val="22"/>
          <w:szCs w:val="22"/>
          <w:u w:val="single"/>
        </w:rPr>
        <w:t>O</w:t>
      </w:r>
      <w:r w:rsidR="0037606B" w:rsidRPr="00386EA6">
        <w:rPr>
          <w:rFonts w:cs="Arial"/>
          <w:sz w:val="22"/>
          <w:szCs w:val="22"/>
          <w:u w:val="single"/>
        </w:rPr>
        <w:t>utpatients</w:t>
      </w:r>
    </w:p>
    <w:p w14:paraId="073C20F4" w14:textId="11F48C29" w:rsidR="00EC141F" w:rsidRPr="00EC141F" w:rsidRDefault="00EC141F" w:rsidP="00EC141F">
      <w:pPr>
        <w:spacing w:after="200" w:line="276" w:lineRule="auto"/>
        <w:rPr>
          <w:rFonts w:cs="Arial"/>
          <w:sz w:val="22"/>
          <w:szCs w:val="22"/>
        </w:rPr>
      </w:pPr>
      <w:r>
        <w:rPr>
          <w:rFonts w:cs="Arial"/>
          <w:sz w:val="22"/>
          <w:szCs w:val="22"/>
        </w:rPr>
        <w:t>Figure 13: Outpatient FFT satisfaction % comparison CWFT, NWL and National</w:t>
      </w:r>
    </w:p>
    <w:p w14:paraId="5881CA63" w14:textId="1106289E" w:rsidR="0037606B" w:rsidRDefault="007C2AF9" w:rsidP="002F0E65">
      <w:pPr>
        <w:jc w:val="center"/>
        <w:rPr>
          <w:rFonts w:cs="Arial"/>
          <w:sz w:val="22"/>
          <w:szCs w:val="22"/>
        </w:rPr>
      </w:pPr>
      <w:r>
        <w:rPr>
          <w:noProof/>
          <w:lang w:eastAsia="en-GB"/>
        </w:rPr>
        <w:drawing>
          <wp:inline distT="0" distB="0" distL="0" distR="0" wp14:anchorId="5251327F" wp14:editId="4AB26ACB">
            <wp:extent cx="5253038" cy="3324225"/>
            <wp:effectExtent l="0" t="0" r="5080" b="952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8FCDCD2" w14:textId="0AD85088" w:rsidR="00EC141F" w:rsidRDefault="00EC141F" w:rsidP="00EC141F">
      <w:pPr>
        <w:spacing w:after="200" w:line="276" w:lineRule="auto"/>
        <w:rPr>
          <w:rFonts w:cs="Arial"/>
          <w:noProof/>
          <w:sz w:val="22"/>
          <w:szCs w:val="22"/>
          <w:lang w:eastAsia="en-GB"/>
        </w:rPr>
      </w:pPr>
      <w:r>
        <w:rPr>
          <w:rFonts w:cs="Arial"/>
          <w:noProof/>
          <w:sz w:val="22"/>
          <w:szCs w:val="22"/>
          <w:lang w:eastAsia="en-GB"/>
        </w:rPr>
        <w:t>Figure 14: Outpatient FFT total responses comparison CWFT, NWL and National</w:t>
      </w:r>
    </w:p>
    <w:tbl>
      <w:tblPr>
        <w:tblW w:w="5576" w:type="pct"/>
        <w:tblInd w:w="-289" w:type="dxa"/>
        <w:tblLook w:val="04A0" w:firstRow="1" w:lastRow="0" w:firstColumn="1" w:lastColumn="0" w:noHBand="0" w:noVBand="1"/>
      </w:tblPr>
      <w:tblGrid>
        <w:gridCol w:w="738"/>
        <w:gridCol w:w="826"/>
        <w:gridCol w:w="900"/>
        <w:gridCol w:w="808"/>
        <w:gridCol w:w="743"/>
        <w:gridCol w:w="853"/>
        <w:gridCol w:w="833"/>
        <w:gridCol w:w="819"/>
        <w:gridCol w:w="864"/>
        <w:gridCol w:w="845"/>
        <w:gridCol w:w="798"/>
        <w:gridCol w:w="833"/>
        <w:gridCol w:w="877"/>
      </w:tblGrid>
      <w:tr w:rsidR="007C2AF9" w:rsidRPr="007C2AF9" w14:paraId="78CB0B53" w14:textId="77777777" w:rsidTr="00C262DB">
        <w:trPr>
          <w:trHeight w:val="270"/>
        </w:trPr>
        <w:tc>
          <w:tcPr>
            <w:tcW w:w="5000" w:type="pct"/>
            <w:gridSpan w:val="13"/>
            <w:tcBorders>
              <w:top w:val="single" w:sz="4" w:space="0" w:color="auto"/>
              <w:left w:val="single" w:sz="4" w:space="0" w:color="auto"/>
              <w:bottom w:val="single" w:sz="4" w:space="0" w:color="auto"/>
              <w:right w:val="single" w:sz="4" w:space="0" w:color="000000"/>
            </w:tcBorders>
            <w:shd w:val="clear" w:color="000000" w:fill="92D050"/>
            <w:noWrap/>
            <w:vAlign w:val="bottom"/>
            <w:hideMark/>
          </w:tcPr>
          <w:p w14:paraId="4A59F9A5" w14:textId="77777777" w:rsidR="007C2AF9" w:rsidRPr="007C2AF9" w:rsidRDefault="007C2AF9" w:rsidP="007C2AF9">
            <w:pPr>
              <w:spacing w:after="0"/>
              <w:jc w:val="center"/>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Outpatient Response Totals</w:t>
            </w:r>
          </w:p>
        </w:tc>
      </w:tr>
      <w:tr w:rsidR="007C2AF9" w:rsidRPr="007C2AF9" w14:paraId="00606765" w14:textId="77777777" w:rsidTr="00C262DB">
        <w:trPr>
          <w:trHeight w:val="270"/>
        </w:trPr>
        <w:tc>
          <w:tcPr>
            <w:tcW w:w="344" w:type="pct"/>
            <w:tcBorders>
              <w:top w:val="nil"/>
              <w:left w:val="single" w:sz="4" w:space="0" w:color="auto"/>
              <w:bottom w:val="single" w:sz="4" w:space="0" w:color="auto"/>
              <w:right w:val="single" w:sz="4" w:space="0" w:color="auto"/>
            </w:tcBorders>
            <w:shd w:val="clear" w:color="000000" w:fill="92D050"/>
            <w:noWrap/>
            <w:vAlign w:val="bottom"/>
            <w:hideMark/>
          </w:tcPr>
          <w:p w14:paraId="207E6DEF" w14:textId="77777777" w:rsidR="007C2AF9" w:rsidRPr="007C2AF9" w:rsidRDefault="007C2AF9" w:rsidP="007C2AF9">
            <w:pPr>
              <w:spacing w:after="0"/>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 </w:t>
            </w:r>
          </w:p>
        </w:tc>
        <w:tc>
          <w:tcPr>
            <w:tcW w:w="385" w:type="pct"/>
            <w:tcBorders>
              <w:top w:val="nil"/>
              <w:left w:val="nil"/>
              <w:bottom w:val="single" w:sz="4" w:space="0" w:color="auto"/>
              <w:right w:val="single" w:sz="4" w:space="0" w:color="auto"/>
            </w:tcBorders>
            <w:shd w:val="clear" w:color="000000" w:fill="92D050"/>
            <w:noWrap/>
            <w:vAlign w:val="bottom"/>
            <w:hideMark/>
          </w:tcPr>
          <w:p w14:paraId="2D4C2A30"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Apr-23</w:t>
            </w:r>
          </w:p>
        </w:tc>
        <w:tc>
          <w:tcPr>
            <w:tcW w:w="419" w:type="pct"/>
            <w:tcBorders>
              <w:top w:val="nil"/>
              <w:left w:val="nil"/>
              <w:bottom w:val="single" w:sz="4" w:space="0" w:color="auto"/>
              <w:right w:val="single" w:sz="4" w:space="0" w:color="auto"/>
            </w:tcBorders>
            <w:shd w:val="clear" w:color="000000" w:fill="92D050"/>
            <w:noWrap/>
            <w:vAlign w:val="bottom"/>
            <w:hideMark/>
          </w:tcPr>
          <w:p w14:paraId="5DFB4E66"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May-23</w:t>
            </w:r>
          </w:p>
        </w:tc>
        <w:tc>
          <w:tcPr>
            <w:tcW w:w="376" w:type="pct"/>
            <w:tcBorders>
              <w:top w:val="nil"/>
              <w:left w:val="nil"/>
              <w:bottom w:val="single" w:sz="4" w:space="0" w:color="auto"/>
              <w:right w:val="single" w:sz="4" w:space="0" w:color="auto"/>
            </w:tcBorders>
            <w:shd w:val="clear" w:color="000000" w:fill="92D050"/>
            <w:noWrap/>
            <w:vAlign w:val="bottom"/>
            <w:hideMark/>
          </w:tcPr>
          <w:p w14:paraId="0CFB8C87"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Jun-23</w:t>
            </w:r>
          </w:p>
        </w:tc>
        <w:tc>
          <w:tcPr>
            <w:tcW w:w="346" w:type="pct"/>
            <w:tcBorders>
              <w:top w:val="nil"/>
              <w:left w:val="nil"/>
              <w:bottom w:val="single" w:sz="4" w:space="0" w:color="auto"/>
              <w:right w:val="single" w:sz="4" w:space="0" w:color="auto"/>
            </w:tcBorders>
            <w:shd w:val="clear" w:color="000000" w:fill="92D050"/>
            <w:noWrap/>
            <w:vAlign w:val="bottom"/>
            <w:hideMark/>
          </w:tcPr>
          <w:p w14:paraId="294AD8FB"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Jul-23</w:t>
            </w:r>
          </w:p>
        </w:tc>
        <w:tc>
          <w:tcPr>
            <w:tcW w:w="397" w:type="pct"/>
            <w:tcBorders>
              <w:top w:val="nil"/>
              <w:left w:val="nil"/>
              <w:bottom w:val="single" w:sz="4" w:space="0" w:color="auto"/>
              <w:right w:val="single" w:sz="4" w:space="0" w:color="auto"/>
            </w:tcBorders>
            <w:shd w:val="clear" w:color="000000" w:fill="92D050"/>
            <w:noWrap/>
            <w:vAlign w:val="bottom"/>
            <w:hideMark/>
          </w:tcPr>
          <w:p w14:paraId="3772E907"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Aug-23</w:t>
            </w:r>
          </w:p>
        </w:tc>
        <w:tc>
          <w:tcPr>
            <w:tcW w:w="388" w:type="pct"/>
            <w:tcBorders>
              <w:top w:val="nil"/>
              <w:left w:val="nil"/>
              <w:bottom w:val="single" w:sz="4" w:space="0" w:color="auto"/>
              <w:right w:val="single" w:sz="4" w:space="0" w:color="auto"/>
            </w:tcBorders>
            <w:shd w:val="clear" w:color="000000" w:fill="92D050"/>
            <w:noWrap/>
            <w:vAlign w:val="bottom"/>
            <w:hideMark/>
          </w:tcPr>
          <w:p w14:paraId="4E629532"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Sep-23</w:t>
            </w:r>
          </w:p>
        </w:tc>
        <w:tc>
          <w:tcPr>
            <w:tcW w:w="381" w:type="pct"/>
            <w:tcBorders>
              <w:top w:val="nil"/>
              <w:left w:val="nil"/>
              <w:bottom w:val="single" w:sz="4" w:space="0" w:color="auto"/>
              <w:right w:val="single" w:sz="4" w:space="0" w:color="auto"/>
            </w:tcBorders>
            <w:shd w:val="clear" w:color="000000" w:fill="92D050"/>
            <w:noWrap/>
            <w:vAlign w:val="bottom"/>
            <w:hideMark/>
          </w:tcPr>
          <w:p w14:paraId="37028F55"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Oct-23</w:t>
            </w:r>
          </w:p>
        </w:tc>
        <w:tc>
          <w:tcPr>
            <w:tcW w:w="402" w:type="pct"/>
            <w:tcBorders>
              <w:top w:val="nil"/>
              <w:left w:val="nil"/>
              <w:bottom w:val="single" w:sz="4" w:space="0" w:color="auto"/>
              <w:right w:val="single" w:sz="4" w:space="0" w:color="auto"/>
            </w:tcBorders>
            <w:shd w:val="clear" w:color="000000" w:fill="92D050"/>
            <w:noWrap/>
            <w:vAlign w:val="bottom"/>
            <w:hideMark/>
          </w:tcPr>
          <w:p w14:paraId="7841867E"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Nov-23</w:t>
            </w:r>
          </w:p>
        </w:tc>
        <w:tc>
          <w:tcPr>
            <w:tcW w:w="393" w:type="pct"/>
            <w:tcBorders>
              <w:top w:val="nil"/>
              <w:left w:val="nil"/>
              <w:bottom w:val="single" w:sz="4" w:space="0" w:color="auto"/>
              <w:right w:val="single" w:sz="4" w:space="0" w:color="auto"/>
            </w:tcBorders>
            <w:shd w:val="clear" w:color="000000" w:fill="92D050"/>
            <w:noWrap/>
            <w:vAlign w:val="bottom"/>
            <w:hideMark/>
          </w:tcPr>
          <w:p w14:paraId="04D18F15"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Dec-23</w:t>
            </w:r>
          </w:p>
        </w:tc>
        <w:tc>
          <w:tcPr>
            <w:tcW w:w="372" w:type="pct"/>
            <w:tcBorders>
              <w:top w:val="nil"/>
              <w:left w:val="nil"/>
              <w:bottom w:val="single" w:sz="4" w:space="0" w:color="auto"/>
              <w:right w:val="single" w:sz="4" w:space="0" w:color="auto"/>
            </w:tcBorders>
            <w:shd w:val="clear" w:color="000000" w:fill="92D050"/>
            <w:noWrap/>
            <w:vAlign w:val="bottom"/>
            <w:hideMark/>
          </w:tcPr>
          <w:p w14:paraId="766ABD1E"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Jan-24</w:t>
            </w:r>
          </w:p>
        </w:tc>
        <w:tc>
          <w:tcPr>
            <w:tcW w:w="388" w:type="pct"/>
            <w:tcBorders>
              <w:top w:val="nil"/>
              <w:left w:val="nil"/>
              <w:bottom w:val="single" w:sz="4" w:space="0" w:color="auto"/>
              <w:right w:val="single" w:sz="4" w:space="0" w:color="auto"/>
            </w:tcBorders>
            <w:shd w:val="clear" w:color="000000" w:fill="92D050"/>
            <w:noWrap/>
            <w:vAlign w:val="bottom"/>
            <w:hideMark/>
          </w:tcPr>
          <w:p w14:paraId="77E61358"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Feb-24</w:t>
            </w:r>
          </w:p>
        </w:tc>
        <w:tc>
          <w:tcPr>
            <w:tcW w:w="408" w:type="pct"/>
            <w:tcBorders>
              <w:top w:val="nil"/>
              <w:left w:val="nil"/>
              <w:bottom w:val="single" w:sz="4" w:space="0" w:color="auto"/>
              <w:right w:val="single" w:sz="4" w:space="0" w:color="auto"/>
            </w:tcBorders>
            <w:shd w:val="clear" w:color="000000" w:fill="92D050"/>
            <w:noWrap/>
            <w:vAlign w:val="bottom"/>
            <w:hideMark/>
          </w:tcPr>
          <w:p w14:paraId="50810317"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Mar-24</w:t>
            </w:r>
          </w:p>
        </w:tc>
      </w:tr>
      <w:tr w:rsidR="007C2AF9" w:rsidRPr="007C2AF9" w14:paraId="6F7C4FCD" w14:textId="77777777" w:rsidTr="00C262DB">
        <w:trPr>
          <w:trHeight w:val="270"/>
        </w:trPr>
        <w:tc>
          <w:tcPr>
            <w:tcW w:w="344" w:type="pct"/>
            <w:tcBorders>
              <w:top w:val="nil"/>
              <w:left w:val="single" w:sz="4" w:space="0" w:color="auto"/>
              <w:bottom w:val="single" w:sz="4" w:space="0" w:color="auto"/>
              <w:right w:val="single" w:sz="4" w:space="0" w:color="auto"/>
            </w:tcBorders>
            <w:shd w:val="clear" w:color="000000" w:fill="92D050"/>
            <w:noWrap/>
            <w:vAlign w:val="bottom"/>
            <w:hideMark/>
          </w:tcPr>
          <w:p w14:paraId="0D6B3F99" w14:textId="77777777" w:rsidR="007C2AF9" w:rsidRPr="007C2AF9" w:rsidRDefault="007C2AF9" w:rsidP="007C2AF9">
            <w:pPr>
              <w:spacing w:after="0"/>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CWFT</w:t>
            </w:r>
          </w:p>
        </w:tc>
        <w:tc>
          <w:tcPr>
            <w:tcW w:w="385" w:type="pct"/>
            <w:tcBorders>
              <w:top w:val="nil"/>
              <w:left w:val="nil"/>
              <w:bottom w:val="single" w:sz="4" w:space="0" w:color="auto"/>
              <w:right w:val="single" w:sz="4" w:space="0" w:color="auto"/>
            </w:tcBorders>
            <w:shd w:val="clear" w:color="000000" w:fill="F2F2F2"/>
            <w:noWrap/>
            <w:vAlign w:val="bottom"/>
            <w:hideMark/>
          </w:tcPr>
          <w:p w14:paraId="66738302"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1586</w:t>
            </w:r>
          </w:p>
        </w:tc>
        <w:tc>
          <w:tcPr>
            <w:tcW w:w="419" w:type="pct"/>
            <w:tcBorders>
              <w:top w:val="nil"/>
              <w:left w:val="nil"/>
              <w:bottom w:val="single" w:sz="4" w:space="0" w:color="auto"/>
              <w:right w:val="single" w:sz="4" w:space="0" w:color="auto"/>
            </w:tcBorders>
            <w:shd w:val="clear" w:color="000000" w:fill="F2F2F2"/>
            <w:noWrap/>
            <w:vAlign w:val="bottom"/>
            <w:hideMark/>
          </w:tcPr>
          <w:p w14:paraId="7875D54C"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1596</w:t>
            </w:r>
          </w:p>
        </w:tc>
        <w:tc>
          <w:tcPr>
            <w:tcW w:w="376" w:type="pct"/>
            <w:tcBorders>
              <w:top w:val="nil"/>
              <w:left w:val="nil"/>
              <w:bottom w:val="single" w:sz="4" w:space="0" w:color="auto"/>
              <w:right w:val="single" w:sz="4" w:space="0" w:color="auto"/>
            </w:tcBorders>
            <w:shd w:val="clear" w:color="000000" w:fill="F2F2F2"/>
            <w:noWrap/>
            <w:vAlign w:val="bottom"/>
            <w:hideMark/>
          </w:tcPr>
          <w:p w14:paraId="5B84B467"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1844</w:t>
            </w:r>
          </w:p>
        </w:tc>
        <w:tc>
          <w:tcPr>
            <w:tcW w:w="346" w:type="pct"/>
            <w:tcBorders>
              <w:top w:val="nil"/>
              <w:left w:val="nil"/>
              <w:bottom w:val="single" w:sz="4" w:space="0" w:color="auto"/>
              <w:right w:val="single" w:sz="4" w:space="0" w:color="auto"/>
            </w:tcBorders>
            <w:shd w:val="clear" w:color="000000" w:fill="F2F2F2"/>
            <w:noWrap/>
            <w:vAlign w:val="bottom"/>
            <w:hideMark/>
          </w:tcPr>
          <w:p w14:paraId="0D09AD8F"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2383</w:t>
            </w:r>
          </w:p>
        </w:tc>
        <w:tc>
          <w:tcPr>
            <w:tcW w:w="397" w:type="pct"/>
            <w:tcBorders>
              <w:top w:val="nil"/>
              <w:left w:val="nil"/>
              <w:bottom w:val="single" w:sz="4" w:space="0" w:color="auto"/>
              <w:right w:val="single" w:sz="4" w:space="0" w:color="auto"/>
            </w:tcBorders>
            <w:shd w:val="clear" w:color="000000" w:fill="F2F2F2"/>
            <w:noWrap/>
            <w:vAlign w:val="bottom"/>
            <w:hideMark/>
          </w:tcPr>
          <w:p w14:paraId="47540E22"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2596</w:t>
            </w:r>
          </w:p>
        </w:tc>
        <w:tc>
          <w:tcPr>
            <w:tcW w:w="388" w:type="pct"/>
            <w:tcBorders>
              <w:top w:val="nil"/>
              <w:left w:val="nil"/>
              <w:bottom w:val="single" w:sz="4" w:space="0" w:color="auto"/>
              <w:right w:val="single" w:sz="4" w:space="0" w:color="auto"/>
            </w:tcBorders>
            <w:shd w:val="clear" w:color="000000" w:fill="F2F2F2"/>
            <w:noWrap/>
            <w:vAlign w:val="bottom"/>
            <w:hideMark/>
          </w:tcPr>
          <w:p w14:paraId="7EAEF741"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2214</w:t>
            </w:r>
          </w:p>
        </w:tc>
        <w:tc>
          <w:tcPr>
            <w:tcW w:w="381" w:type="pct"/>
            <w:tcBorders>
              <w:top w:val="nil"/>
              <w:left w:val="nil"/>
              <w:bottom w:val="single" w:sz="4" w:space="0" w:color="auto"/>
              <w:right w:val="single" w:sz="4" w:space="0" w:color="auto"/>
            </w:tcBorders>
            <w:shd w:val="clear" w:color="000000" w:fill="F2F2F2"/>
            <w:noWrap/>
            <w:vAlign w:val="bottom"/>
            <w:hideMark/>
          </w:tcPr>
          <w:p w14:paraId="19506EB4"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2398</w:t>
            </w:r>
          </w:p>
        </w:tc>
        <w:tc>
          <w:tcPr>
            <w:tcW w:w="402" w:type="pct"/>
            <w:tcBorders>
              <w:top w:val="nil"/>
              <w:left w:val="nil"/>
              <w:bottom w:val="single" w:sz="4" w:space="0" w:color="auto"/>
              <w:right w:val="single" w:sz="4" w:space="0" w:color="auto"/>
            </w:tcBorders>
            <w:shd w:val="clear" w:color="000000" w:fill="F2F2F2"/>
            <w:noWrap/>
            <w:vAlign w:val="bottom"/>
            <w:hideMark/>
          </w:tcPr>
          <w:p w14:paraId="3DB3AD0F"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2391</w:t>
            </w:r>
          </w:p>
        </w:tc>
        <w:tc>
          <w:tcPr>
            <w:tcW w:w="393" w:type="pct"/>
            <w:tcBorders>
              <w:top w:val="nil"/>
              <w:left w:val="nil"/>
              <w:bottom w:val="single" w:sz="4" w:space="0" w:color="auto"/>
              <w:right w:val="single" w:sz="4" w:space="0" w:color="auto"/>
            </w:tcBorders>
            <w:shd w:val="clear" w:color="000000" w:fill="F2F2F2"/>
            <w:noWrap/>
            <w:vAlign w:val="bottom"/>
            <w:hideMark/>
          </w:tcPr>
          <w:p w14:paraId="3102DEBC"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1734</w:t>
            </w:r>
          </w:p>
        </w:tc>
        <w:tc>
          <w:tcPr>
            <w:tcW w:w="372" w:type="pct"/>
            <w:tcBorders>
              <w:top w:val="nil"/>
              <w:left w:val="nil"/>
              <w:bottom w:val="single" w:sz="4" w:space="0" w:color="auto"/>
              <w:right w:val="single" w:sz="4" w:space="0" w:color="auto"/>
            </w:tcBorders>
            <w:shd w:val="clear" w:color="000000" w:fill="F2F2F2"/>
            <w:noWrap/>
            <w:vAlign w:val="bottom"/>
            <w:hideMark/>
          </w:tcPr>
          <w:p w14:paraId="5627944F"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2515</w:t>
            </w:r>
          </w:p>
        </w:tc>
        <w:tc>
          <w:tcPr>
            <w:tcW w:w="388" w:type="pct"/>
            <w:tcBorders>
              <w:top w:val="nil"/>
              <w:left w:val="nil"/>
              <w:bottom w:val="single" w:sz="4" w:space="0" w:color="auto"/>
              <w:right w:val="single" w:sz="4" w:space="0" w:color="auto"/>
            </w:tcBorders>
            <w:shd w:val="clear" w:color="000000" w:fill="F2F2F2"/>
            <w:noWrap/>
            <w:vAlign w:val="bottom"/>
            <w:hideMark/>
          </w:tcPr>
          <w:p w14:paraId="47717583"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1897</w:t>
            </w:r>
          </w:p>
        </w:tc>
        <w:tc>
          <w:tcPr>
            <w:tcW w:w="408" w:type="pct"/>
            <w:tcBorders>
              <w:top w:val="nil"/>
              <w:left w:val="nil"/>
              <w:bottom w:val="single" w:sz="4" w:space="0" w:color="auto"/>
              <w:right w:val="single" w:sz="4" w:space="0" w:color="auto"/>
            </w:tcBorders>
            <w:shd w:val="clear" w:color="000000" w:fill="F2F2F2"/>
            <w:noWrap/>
            <w:vAlign w:val="bottom"/>
            <w:hideMark/>
          </w:tcPr>
          <w:p w14:paraId="66B6021F"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1954</w:t>
            </w:r>
          </w:p>
        </w:tc>
      </w:tr>
      <w:tr w:rsidR="007C2AF9" w:rsidRPr="007C2AF9" w14:paraId="66FAB963" w14:textId="77777777" w:rsidTr="00C262DB">
        <w:trPr>
          <w:trHeight w:val="270"/>
        </w:trPr>
        <w:tc>
          <w:tcPr>
            <w:tcW w:w="344" w:type="pct"/>
            <w:tcBorders>
              <w:top w:val="nil"/>
              <w:left w:val="single" w:sz="4" w:space="0" w:color="auto"/>
              <w:bottom w:val="single" w:sz="4" w:space="0" w:color="auto"/>
              <w:right w:val="single" w:sz="4" w:space="0" w:color="auto"/>
            </w:tcBorders>
            <w:shd w:val="clear" w:color="000000" w:fill="92D050"/>
            <w:noWrap/>
            <w:vAlign w:val="bottom"/>
            <w:hideMark/>
          </w:tcPr>
          <w:p w14:paraId="0F0E64EF" w14:textId="77777777" w:rsidR="007C2AF9" w:rsidRPr="007C2AF9" w:rsidRDefault="007C2AF9" w:rsidP="007C2AF9">
            <w:pPr>
              <w:spacing w:after="0"/>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LNW</w:t>
            </w:r>
          </w:p>
        </w:tc>
        <w:tc>
          <w:tcPr>
            <w:tcW w:w="385" w:type="pct"/>
            <w:tcBorders>
              <w:top w:val="nil"/>
              <w:left w:val="nil"/>
              <w:bottom w:val="single" w:sz="4" w:space="0" w:color="auto"/>
              <w:right w:val="single" w:sz="4" w:space="0" w:color="auto"/>
            </w:tcBorders>
            <w:shd w:val="clear" w:color="000000" w:fill="F2F2F2"/>
            <w:noWrap/>
            <w:vAlign w:val="bottom"/>
            <w:hideMark/>
          </w:tcPr>
          <w:p w14:paraId="3642E93C"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4192</w:t>
            </w:r>
          </w:p>
        </w:tc>
        <w:tc>
          <w:tcPr>
            <w:tcW w:w="419" w:type="pct"/>
            <w:tcBorders>
              <w:top w:val="nil"/>
              <w:left w:val="nil"/>
              <w:bottom w:val="single" w:sz="4" w:space="0" w:color="auto"/>
              <w:right w:val="single" w:sz="4" w:space="0" w:color="auto"/>
            </w:tcBorders>
            <w:shd w:val="clear" w:color="000000" w:fill="F2F2F2"/>
            <w:noWrap/>
            <w:vAlign w:val="bottom"/>
            <w:hideMark/>
          </w:tcPr>
          <w:p w14:paraId="3FFA766B"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5005</w:t>
            </w:r>
          </w:p>
        </w:tc>
        <w:tc>
          <w:tcPr>
            <w:tcW w:w="376" w:type="pct"/>
            <w:tcBorders>
              <w:top w:val="nil"/>
              <w:left w:val="nil"/>
              <w:bottom w:val="single" w:sz="4" w:space="0" w:color="auto"/>
              <w:right w:val="single" w:sz="4" w:space="0" w:color="auto"/>
            </w:tcBorders>
            <w:shd w:val="clear" w:color="000000" w:fill="F2F2F2"/>
            <w:noWrap/>
            <w:vAlign w:val="bottom"/>
            <w:hideMark/>
          </w:tcPr>
          <w:p w14:paraId="069DB5A0"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4714</w:t>
            </w:r>
          </w:p>
        </w:tc>
        <w:tc>
          <w:tcPr>
            <w:tcW w:w="346" w:type="pct"/>
            <w:tcBorders>
              <w:top w:val="nil"/>
              <w:left w:val="nil"/>
              <w:bottom w:val="single" w:sz="4" w:space="0" w:color="auto"/>
              <w:right w:val="single" w:sz="4" w:space="0" w:color="auto"/>
            </w:tcBorders>
            <w:shd w:val="clear" w:color="000000" w:fill="F2F2F2"/>
            <w:noWrap/>
            <w:vAlign w:val="bottom"/>
            <w:hideMark/>
          </w:tcPr>
          <w:p w14:paraId="6B4D6AED"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4569</w:t>
            </w:r>
          </w:p>
        </w:tc>
        <w:tc>
          <w:tcPr>
            <w:tcW w:w="397" w:type="pct"/>
            <w:tcBorders>
              <w:top w:val="nil"/>
              <w:left w:val="nil"/>
              <w:bottom w:val="single" w:sz="4" w:space="0" w:color="auto"/>
              <w:right w:val="single" w:sz="4" w:space="0" w:color="auto"/>
            </w:tcBorders>
            <w:shd w:val="clear" w:color="000000" w:fill="F2F2F2"/>
            <w:noWrap/>
            <w:vAlign w:val="bottom"/>
            <w:hideMark/>
          </w:tcPr>
          <w:p w14:paraId="140C01F5"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3208</w:t>
            </w:r>
          </w:p>
        </w:tc>
        <w:tc>
          <w:tcPr>
            <w:tcW w:w="388" w:type="pct"/>
            <w:tcBorders>
              <w:top w:val="nil"/>
              <w:left w:val="nil"/>
              <w:bottom w:val="single" w:sz="4" w:space="0" w:color="auto"/>
              <w:right w:val="single" w:sz="4" w:space="0" w:color="auto"/>
            </w:tcBorders>
            <w:shd w:val="clear" w:color="000000" w:fill="F2F2F2"/>
            <w:noWrap/>
            <w:vAlign w:val="bottom"/>
            <w:hideMark/>
          </w:tcPr>
          <w:p w14:paraId="2BB3D139"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541</w:t>
            </w:r>
          </w:p>
        </w:tc>
        <w:tc>
          <w:tcPr>
            <w:tcW w:w="381" w:type="pct"/>
            <w:tcBorders>
              <w:top w:val="nil"/>
              <w:left w:val="nil"/>
              <w:bottom w:val="single" w:sz="4" w:space="0" w:color="auto"/>
              <w:right w:val="single" w:sz="4" w:space="0" w:color="auto"/>
            </w:tcBorders>
            <w:shd w:val="clear" w:color="000000" w:fill="F2F2F2"/>
            <w:noWrap/>
            <w:vAlign w:val="bottom"/>
            <w:hideMark/>
          </w:tcPr>
          <w:p w14:paraId="2C6E3A8B"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722</w:t>
            </w:r>
          </w:p>
        </w:tc>
        <w:tc>
          <w:tcPr>
            <w:tcW w:w="402" w:type="pct"/>
            <w:tcBorders>
              <w:top w:val="nil"/>
              <w:left w:val="nil"/>
              <w:bottom w:val="single" w:sz="4" w:space="0" w:color="auto"/>
              <w:right w:val="single" w:sz="4" w:space="0" w:color="auto"/>
            </w:tcBorders>
            <w:shd w:val="clear" w:color="000000" w:fill="F2F2F2"/>
            <w:noWrap/>
            <w:vAlign w:val="bottom"/>
            <w:hideMark/>
          </w:tcPr>
          <w:p w14:paraId="1BC8C13D"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5648</w:t>
            </w:r>
          </w:p>
        </w:tc>
        <w:tc>
          <w:tcPr>
            <w:tcW w:w="393" w:type="pct"/>
            <w:tcBorders>
              <w:top w:val="nil"/>
              <w:left w:val="nil"/>
              <w:bottom w:val="single" w:sz="4" w:space="0" w:color="auto"/>
              <w:right w:val="single" w:sz="4" w:space="0" w:color="auto"/>
            </w:tcBorders>
            <w:shd w:val="clear" w:color="000000" w:fill="F2F2F2"/>
            <w:noWrap/>
            <w:vAlign w:val="bottom"/>
            <w:hideMark/>
          </w:tcPr>
          <w:p w14:paraId="7FA9F35C"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3903</w:t>
            </w:r>
          </w:p>
        </w:tc>
        <w:tc>
          <w:tcPr>
            <w:tcW w:w="372" w:type="pct"/>
            <w:tcBorders>
              <w:top w:val="nil"/>
              <w:left w:val="nil"/>
              <w:bottom w:val="single" w:sz="4" w:space="0" w:color="auto"/>
              <w:right w:val="single" w:sz="4" w:space="0" w:color="auto"/>
            </w:tcBorders>
            <w:shd w:val="clear" w:color="000000" w:fill="F2F2F2"/>
            <w:noWrap/>
            <w:vAlign w:val="bottom"/>
            <w:hideMark/>
          </w:tcPr>
          <w:p w14:paraId="35EA0516"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5258</w:t>
            </w:r>
          </w:p>
        </w:tc>
        <w:tc>
          <w:tcPr>
            <w:tcW w:w="388" w:type="pct"/>
            <w:tcBorders>
              <w:top w:val="nil"/>
              <w:left w:val="nil"/>
              <w:bottom w:val="single" w:sz="4" w:space="0" w:color="auto"/>
              <w:right w:val="single" w:sz="4" w:space="0" w:color="auto"/>
            </w:tcBorders>
            <w:shd w:val="clear" w:color="000000" w:fill="F2F2F2"/>
            <w:noWrap/>
            <w:vAlign w:val="bottom"/>
            <w:hideMark/>
          </w:tcPr>
          <w:p w14:paraId="6DD1EFC9"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5090</w:t>
            </w:r>
          </w:p>
        </w:tc>
        <w:tc>
          <w:tcPr>
            <w:tcW w:w="408" w:type="pct"/>
            <w:tcBorders>
              <w:top w:val="nil"/>
              <w:left w:val="nil"/>
              <w:bottom w:val="single" w:sz="4" w:space="0" w:color="auto"/>
              <w:right w:val="single" w:sz="4" w:space="0" w:color="auto"/>
            </w:tcBorders>
            <w:shd w:val="clear" w:color="000000" w:fill="F2F2F2"/>
            <w:noWrap/>
            <w:vAlign w:val="bottom"/>
            <w:hideMark/>
          </w:tcPr>
          <w:p w14:paraId="29E8E736"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4266</w:t>
            </w:r>
          </w:p>
        </w:tc>
      </w:tr>
      <w:tr w:rsidR="007C2AF9" w:rsidRPr="007C2AF9" w14:paraId="53A32CEE" w14:textId="77777777" w:rsidTr="00C262DB">
        <w:trPr>
          <w:trHeight w:val="270"/>
        </w:trPr>
        <w:tc>
          <w:tcPr>
            <w:tcW w:w="344" w:type="pct"/>
            <w:tcBorders>
              <w:top w:val="nil"/>
              <w:left w:val="single" w:sz="4" w:space="0" w:color="auto"/>
              <w:bottom w:val="single" w:sz="4" w:space="0" w:color="auto"/>
              <w:right w:val="single" w:sz="4" w:space="0" w:color="auto"/>
            </w:tcBorders>
            <w:shd w:val="clear" w:color="000000" w:fill="92D050"/>
            <w:noWrap/>
            <w:vAlign w:val="bottom"/>
            <w:hideMark/>
          </w:tcPr>
          <w:p w14:paraId="3BA702B3" w14:textId="77777777" w:rsidR="007C2AF9" w:rsidRPr="007C2AF9" w:rsidRDefault="007C2AF9" w:rsidP="007C2AF9">
            <w:pPr>
              <w:spacing w:after="0"/>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ICH</w:t>
            </w:r>
          </w:p>
        </w:tc>
        <w:tc>
          <w:tcPr>
            <w:tcW w:w="385" w:type="pct"/>
            <w:tcBorders>
              <w:top w:val="nil"/>
              <w:left w:val="nil"/>
              <w:bottom w:val="single" w:sz="4" w:space="0" w:color="auto"/>
              <w:right w:val="single" w:sz="4" w:space="0" w:color="auto"/>
            </w:tcBorders>
            <w:shd w:val="clear" w:color="000000" w:fill="F2F2F2"/>
            <w:noWrap/>
            <w:vAlign w:val="bottom"/>
            <w:hideMark/>
          </w:tcPr>
          <w:p w14:paraId="111F70E9"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6941</w:t>
            </w:r>
          </w:p>
        </w:tc>
        <w:tc>
          <w:tcPr>
            <w:tcW w:w="419" w:type="pct"/>
            <w:tcBorders>
              <w:top w:val="nil"/>
              <w:left w:val="nil"/>
              <w:bottom w:val="single" w:sz="4" w:space="0" w:color="auto"/>
              <w:right w:val="single" w:sz="4" w:space="0" w:color="auto"/>
            </w:tcBorders>
            <w:shd w:val="clear" w:color="000000" w:fill="F2F2F2"/>
            <w:noWrap/>
            <w:vAlign w:val="bottom"/>
            <w:hideMark/>
          </w:tcPr>
          <w:p w14:paraId="7E3B52FD"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7529</w:t>
            </w:r>
          </w:p>
        </w:tc>
        <w:tc>
          <w:tcPr>
            <w:tcW w:w="376" w:type="pct"/>
            <w:tcBorders>
              <w:top w:val="nil"/>
              <w:left w:val="nil"/>
              <w:bottom w:val="single" w:sz="4" w:space="0" w:color="auto"/>
              <w:right w:val="single" w:sz="4" w:space="0" w:color="auto"/>
            </w:tcBorders>
            <w:shd w:val="clear" w:color="000000" w:fill="F2F2F2"/>
            <w:noWrap/>
            <w:vAlign w:val="bottom"/>
            <w:hideMark/>
          </w:tcPr>
          <w:p w14:paraId="44EBA487"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8304</w:t>
            </w:r>
          </w:p>
        </w:tc>
        <w:tc>
          <w:tcPr>
            <w:tcW w:w="346" w:type="pct"/>
            <w:tcBorders>
              <w:top w:val="nil"/>
              <w:left w:val="nil"/>
              <w:bottom w:val="single" w:sz="4" w:space="0" w:color="auto"/>
              <w:right w:val="single" w:sz="4" w:space="0" w:color="auto"/>
            </w:tcBorders>
            <w:shd w:val="clear" w:color="000000" w:fill="F2F2F2"/>
            <w:noWrap/>
            <w:vAlign w:val="bottom"/>
            <w:hideMark/>
          </w:tcPr>
          <w:p w14:paraId="1F13A92F"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8193</w:t>
            </w:r>
          </w:p>
        </w:tc>
        <w:tc>
          <w:tcPr>
            <w:tcW w:w="397" w:type="pct"/>
            <w:tcBorders>
              <w:top w:val="nil"/>
              <w:left w:val="nil"/>
              <w:bottom w:val="single" w:sz="4" w:space="0" w:color="auto"/>
              <w:right w:val="single" w:sz="4" w:space="0" w:color="auto"/>
            </w:tcBorders>
            <w:shd w:val="clear" w:color="000000" w:fill="F2F2F2"/>
            <w:noWrap/>
            <w:vAlign w:val="bottom"/>
            <w:hideMark/>
          </w:tcPr>
          <w:p w14:paraId="504E3741"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8454</w:t>
            </w:r>
          </w:p>
        </w:tc>
        <w:tc>
          <w:tcPr>
            <w:tcW w:w="388" w:type="pct"/>
            <w:tcBorders>
              <w:top w:val="nil"/>
              <w:left w:val="nil"/>
              <w:bottom w:val="single" w:sz="4" w:space="0" w:color="auto"/>
              <w:right w:val="single" w:sz="4" w:space="0" w:color="auto"/>
            </w:tcBorders>
            <w:shd w:val="clear" w:color="000000" w:fill="F2F2F2"/>
            <w:noWrap/>
            <w:vAlign w:val="bottom"/>
            <w:hideMark/>
          </w:tcPr>
          <w:p w14:paraId="63AAA7E1"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7822</w:t>
            </w:r>
          </w:p>
        </w:tc>
        <w:tc>
          <w:tcPr>
            <w:tcW w:w="381" w:type="pct"/>
            <w:tcBorders>
              <w:top w:val="nil"/>
              <w:left w:val="nil"/>
              <w:bottom w:val="single" w:sz="4" w:space="0" w:color="auto"/>
              <w:right w:val="single" w:sz="4" w:space="0" w:color="auto"/>
            </w:tcBorders>
            <w:shd w:val="clear" w:color="000000" w:fill="F2F2F2"/>
            <w:noWrap/>
            <w:vAlign w:val="bottom"/>
            <w:hideMark/>
          </w:tcPr>
          <w:p w14:paraId="24F758D4"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7880</w:t>
            </w:r>
          </w:p>
        </w:tc>
        <w:tc>
          <w:tcPr>
            <w:tcW w:w="402" w:type="pct"/>
            <w:tcBorders>
              <w:top w:val="nil"/>
              <w:left w:val="nil"/>
              <w:bottom w:val="single" w:sz="4" w:space="0" w:color="auto"/>
              <w:right w:val="single" w:sz="4" w:space="0" w:color="auto"/>
            </w:tcBorders>
            <w:shd w:val="clear" w:color="000000" w:fill="F2F2F2"/>
            <w:noWrap/>
            <w:vAlign w:val="bottom"/>
            <w:hideMark/>
          </w:tcPr>
          <w:p w14:paraId="40177AAF"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9720</w:t>
            </w:r>
          </w:p>
        </w:tc>
        <w:tc>
          <w:tcPr>
            <w:tcW w:w="393" w:type="pct"/>
            <w:tcBorders>
              <w:top w:val="nil"/>
              <w:left w:val="nil"/>
              <w:bottom w:val="single" w:sz="4" w:space="0" w:color="auto"/>
              <w:right w:val="single" w:sz="4" w:space="0" w:color="auto"/>
            </w:tcBorders>
            <w:shd w:val="clear" w:color="000000" w:fill="F2F2F2"/>
            <w:noWrap/>
            <w:vAlign w:val="bottom"/>
            <w:hideMark/>
          </w:tcPr>
          <w:p w14:paraId="5FCA51DB"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7284</w:t>
            </w:r>
          </w:p>
        </w:tc>
        <w:tc>
          <w:tcPr>
            <w:tcW w:w="372" w:type="pct"/>
            <w:tcBorders>
              <w:top w:val="nil"/>
              <w:left w:val="nil"/>
              <w:bottom w:val="single" w:sz="4" w:space="0" w:color="auto"/>
              <w:right w:val="single" w:sz="4" w:space="0" w:color="auto"/>
            </w:tcBorders>
            <w:shd w:val="clear" w:color="000000" w:fill="F2F2F2"/>
            <w:noWrap/>
            <w:vAlign w:val="bottom"/>
            <w:hideMark/>
          </w:tcPr>
          <w:p w14:paraId="6FB326EE"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9891</w:t>
            </w:r>
          </w:p>
        </w:tc>
        <w:tc>
          <w:tcPr>
            <w:tcW w:w="388" w:type="pct"/>
            <w:tcBorders>
              <w:top w:val="nil"/>
              <w:left w:val="nil"/>
              <w:bottom w:val="single" w:sz="4" w:space="0" w:color="auto"/>
              <w:right w:val="single" w:sz="4" w:space="0" w:color="auto"/>
            </w:tcBorders>
            <w:shd w:val="clear" w:color="000000" w:fill="F2F2F2"/>
            <w:noWrap/>
            <w:vAlign w:val="bottom"/>
            <w:hideMark/>
          </w:tcPr>
          <w:p w14:paraId="46E979A3"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9155</w:t>
            </w:r>
          </w:p>
        </w:tc>
        <w:tc>
          <w:tcPr>
            <w:tcW w:w="408" w:type="pct"/>
            <w:tcBorders>
              <w:top w:val="nil"/>
              <w:left w:val="nil"/>
              <w:bottom w:val="single" w:sz="4" w:space="0" w:color="auto"/>
              <w:right w:val="single" w:sz="4" w:space="0" w:color="auto"/>
            </w:tcBorders>
            <w:shd w:val="clear" w:color="000000" w:fill="F2F2F2"/>
            <w:noWrap/>
            <w:vAlign w:val="bottom"/>
            <w:hideMark/>
          </w:tcPr>
          <w:p w14:paraId="05EC41C1"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4051</w:t>
            </w:r>
          </w:p>
        </w:tc>
      </w:tr>
      <w:tr w:rsidR="007C2AF9" w:rsidRPr="007C2AF9" w14:paraId="73AA358C" w14:textId="77777777" w:rsidTr="00C262DB">
        <w:trPr>
          <w:trHeight w:val="270"/>
        </w:trPr>
        <w:tc>
          <w:tcPr>
            <w:tcW w:w="344" w:type="pct"/>
            <w:tcBorders>
              <w:top w:val="nil"/>
              <w:left w:val="single" w:sz="4" w:space="0" w:color="auto"/>
              <w:bottom w:val="single" w:sz="4" w:space="0" w:color="auto"/>
              <w:right w:val="single" w:sz="4" w:space="0" w:color="auto"/>
            </w:tcBorders>
            <w:shd w:val="clear" w:color="000000" w:fill="92D050"/>
            <w:noWrap/>
            <w:vAlign w:val="bottom"/>
            <w:hideMark/>
          </w:tcPr>
          <w:p w14:paraId="35FF798F" w14:textId="77777777" w:rsidR="007C2AF9" w:rsidRPr="007C2AF9" w:rsidRDefault="007C2AF9" w:rsidP="007C2AF9">
            <w:pPr>
              <w:spacing w:after="0"/>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THH</w:t>
            </w:r>
          </w:p>
        </w:tc>
        <w:tc>
          <w:tcPr>
            <w:tcW w:w="385" w:type="pct"/>
            <w:tcBorders>
              <w:top w:val="nil"/>
              <w:left w:val="nil"/>
              <w:bottom w:val="single" w:sz="4" w:space="0" w:color="auto"/>
              <w:right w:val="single" w:sz="4" w:space="0" w:color="auto"/>
            </w:tcBorders>
            <w:shd w:val="clear" w:color="000000" w:fill="F2F2F2"/>
            <w:noWrap/>
            <w:vAlign w:val="bottom"/>
            <w:hideMark/>
          </w:tcPr>
          <w:p w14:paraId="24E72749"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2764</w:t>
            </w:r>
          </w:p>
        </w:tc>
        <w:tc>
          <w:tcPr>
            <w:tcW w:w="419" w:type="pct"/>
            <w:tcBorders>
              <w:top w:val="nil"/>
              <w:left w:val="nil"/>
              <w:bottom w:val="single" w:sz="4" w:space="0" w:color="auto"/>
              <w:right w:val="single" w:sz="4" w:space="0" w:color="auto"/>
            </w:tcBorders>
            <w:shd w:val="clear" w:color="000000" w:fill="F2F2F2"/>
            <w:noWrap/>
            <w:vAlign w:val="bottom"/>
            <w:hideMark/>
          </w:tcPr>
          <w:p w14:paraId="52DAE82C"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2810</w:t>
            </w:r>
          </w:p>
        </w:tc>
        <w:tc>
          <w:tcPr>
            <w:tcW w:w="376" w:type="pct"/>
            <w:tcBorders>
              <w:top w:val="nil"/>
              <w:left w:val="nil"/>
              <w:bottom w:val="single" w:sz="4" w:space="0" w:color="auto"/>
              <w:right w:val="single" w:sz="4" w:space="0" w:color="auto"/>
            </w:tcBorders>
            <w:shd w:val="clear" w:color="000000" w:fill="F2F2F2"/>
            <w:noWrap/>
            <w:vAlign w:val="bottom"/>
            <w:hideMark/>
          </w:tcPr>
          <w:p w14:paraId="3309B2DB"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3300</w:t>
            </w:r>
          </w:p>
        </w:tc>
        <w:tc>
          <w:tcPr>
            <w:tcW w:w="346" w:type="pct"/>
            <w:tcBorders>
              <w:top w:val="nil"/>
              <w:left w:val="nil"/>
              <w:bottom w:val="single" w:sz="4" w:space="0" w:color="auto"/>
              <w:right w:val="single" w:sz="4" w:space="0" w:color="auto"/>
            </w:tcBorders>
            <w:shd w:val="clear" w:color="000000" w:fill="F2F2F2"/>
            <w:noWrap/>
            <w:vAlign w:val="bottom"/>
            <w:hideMark/>
          </w:tcPr>
          <w:p w14:paraId="161F515B"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2866</w:t>
            </w:r>
          </w:p>
        </w:tc>
        <w:tc>
          <w:tcPr>
            <w:tcW w:w="397" w:type="pct"/>
            <w:tcBorders>
              <w:top w:val="nil"/>
              <w:left w:val="nil"/>
              <w:bottom w:val="single" w:sz="4" w:space="0" w:color="auto"/>
              <w:right w:val="single" w:sz="4" w:space="0" w:color="auto"/>
            </w:tcBorders>
            <w:shd w:val="clear" w:color="000000" w:fill="F2F2F2"/>
            <w:noWrap/>
            <w:vAlign w:val="bottom"/>
            <w:hideMark/>
          </w:tcPr>
          <w:p w14:paraId="4A80C2B6"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2994</w:t>
            </w:r>
          </w:p>
        </w:tc>
        <w:tc>
          <w:tcPr>
            <w:tcW w:w="388" w:type="pct"/>
            <w:tcBorders>
              <w:top w:val="nil"/>
              <w:left w:val="nil"/>
              <w:bottom w:val="single" w:sz="4" w:space="0" w:color="auto"/>
              <w:right w:val="single" w:sz="4" w:space="0" w:color="auto"/>
            </w:tcBorders>
            <w:shd w:val="clear" w:color="000000" w:fill="F2F2F2"/>
            <w:noWrap/>
            <w:vAlign w:val="bottom"/>
            <w:hideMark/>
          </w:tcPr>
          <w:p w14:paraId="48BA91DD"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3064</w:t>
            </w:r>
          </w:p>
        </w:tc>
        <w:tc>
          <w:tcPr>
            <w:tcW w:w="381" w:type="pct"/>
            <w:tcBorders>
              <w:top w:val="nil"/>
              <w:left w:val="nil"/>
              <w:bottom w:val="single" w:sz="4" w:space="0" w:color="auto"/>
              <w:right w:val="single" w:sz="4" w:space="0" w:color="auto"/>
            </w:tcBorders>
            <w:shd w:val="clear" w:color="000000" w:fill="F2F2F2"/>
            <w:noWrap/>
            <w:vAlign w:val="bottom"/>
            <w:hideMark/>
          </w:tcPr>
          <w:p w14:paraId="387AABA5"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2760</w:t>
            </w:r>
          </w:p>
        </w:tc>
        <w:tc>
          <w:tcPr>
            <w:tcW w:w="402" w:type="pct"/>
            <w:tcBorders>
              <w:top w:val="nil"/>
              <w:left w:val="nil"/>
              <w:bottom w:val="single" w:sz="4" w:space="0" w:color="auto"/>
              <w:right w:val="single" w:sz="4" w:space="0" w:color="auto"/>
            </w:tcBorders>
            <w:shd w:val="clear" w:color="000000" w:fill="F2F2F2"/>
            <w:noWrap/>
            <w:vAlign w:val="bottom"/>
            <w:hideMark/>
          </w:tcPr>
          <w:p w14:paraId="5517A30B"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1937</w:t>
            </w:r>
          </w:p>
        </w:tc>
        <w:tc>
          <w:tcPr>
            <w:tcW w:w="393" w:type="pct"/>
            <w:tcBorders>
              <w:top w:val="nil"/>
              <w:left w:val="nil"/>
              <w:bottom w:val="single" w:sz="4" w:space="0" w:color="auto"/>
              <w:right w:val="single" w:sz="4" w:space="0" w:color="auto"/>
            </w:tcBorders>
            <w:shd w:val="clear" w:color="000000" w:fill="F2F2F2"/>
            <w:noWrap/>
            <w:vAlign w:val="bottom"/>
            <w:hideMark/>
          </w:tcPr>
          <w:p w14:paraId="06D6CF7E"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2631</w:t>
            </w:r>
          </w:p>
        </w:tc>
        <w:tc>
          <w:tcPr>
            <w:tcW w:w="372" w:type="pct"/>
            <w:tcBorders>
              <w:top w:val="nil"/>
              <w:left w:val="nil"/>
              <w:bottom w:val="single" w:sz="4" w:space="0" w:color="auto"/>
              <w:right w:val="single" w:sz="4" w:space="0" w:color="auto"/>
            </w:tcBorders>
            <w:shd w:val="clear" w:color="000000" w:fill="F2F2F2"/>
            <w:noWrap/>
            <w:vAlign w:val="bottom"/>
            <w:hideMark/>
          </w:tcPr>
          <w:p w14:paraId="79E2B6DD"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2626</w:t>
            </w:r>
          </w:p>
        </w:tc>
        <w:tc>
          <w:tcPr>
            <w:tcW w:w="388" w:type="pct"/>
            <w:tcBorders>
              <w:top w:val="nil"/>
              <w:left w:val="nil"/>
              <w:bottom w:val="single" w:sz="4" w:space="0" w:color="auto"/>
              <w:right w:val="single" w:sz="4" w:space="0" w:color="auto"/>
            </w:tcBorders>
            <w:shd w:val="clear" w:color="000000" w:fill="F2F2F2"/>
            <w:noWrap/>
            <w:vAlign w:val="bottom"/>
            <w:hideMark/>
          </w:tcPr>
          <w:p w14:paraId="098E2EEE"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3920</w:t>
            </w:r>
          </w:p>
        </w:tc>
        <w:tc>
          <w:tcPr>
            <w:tcW w:w="408" w:type="pct"/>
            <w:tcBorders>
              <w:top w:val="nil"/>
              <w:left w:val="nil"/>
              <w:bottom w:val="single" w:sz="4" w:space="0" w:color="auto"/>
              <w:right w:val="single" w:sz="4" w:space="0" w:color="auto"/>
            </w:tcBorders>
            <w:shd w:val="clear" w:color="000000" w:fill="F2F2F2"/>
            <w:noWrap/>
            <w:vAlign w:val="bottom"/>
            <w:hideMark/>
          </w:tcPr>
          <w:p w14:paraId="2EAB10A4" w14:textId="77777777" w:rsidR="007C2AF9" w:rsidRPr="007C2AF9" w:rsidRDefault="007C2AF9" w:rsidP="007C2AF9">
            <w:pPr>
              <w:spacing w:after="0"/>
              <w:jc w:val="right"/>
              <w:rPr>
                <w:rFonts w:ascii="Calibri" w:eastAsia="Times New Roman" w:hAnsi="Calibri" w:cs="Calibri"/>
                <w:color w:val="000000"/>
                <w:sz w:val="22"/>
                <w:szCs w:val="22"/>
                <w:lang w:eastAsia="en-GB"/>
              </w:rPr>
            </w:pPr>
            <w:r w:rsidRPr="007C2AF9">
              <w:rPr>
                <w:rFonts w:ascii="Calibri" w:eastAsia="Times New Roman" w:hAnsi="Calibri" w:cs="Calibri"/>
                <w:color w:val="000000"/>
                <w:sz w:val="22"/>
                <w:szCs w:val="22"/>
                <w:lang w:eastAsia="en-GB"/>
              </w:rPr>
              <w:t>3968</w:t>
            </w:r>
          </w:p>
        </w:tc>
      </w:tr>
    </w:tbl>
    <w:p w14:paraId="781810BA" w14:textId="77777777" w:rsidR="00005136" w:rsidRDefault="00005136" w:rsidP="00DE2FB9">
      <w:pPr>
        <w:rPr>
          <w:rFonts w:cs="Arial"/>
          <w:sz w:val="22"/>
          <w:szCs w:val="22"/>
        </w:rPr>
      </w:pPr>
    </w:p>
    <w:p w14:paraId="23557CD5" w14:textId="7C450A7B" w:rsidR="00C3115B" w:rsidRDefault="00DE2FB9" w:rsidP="002D1C7E">
      <w:pPr>
        <w:jc w:val="both"/>
        <w:rPr>
          <w:rFonts w:cs="Arial"/>
          <w:sz w:val="22"/>
          <w:szCs w:val="22"/>
        </w:rPr>
      </w:pPr>
      <w:r w:rsidRPr="00386EA6">
        <w:rPr>
          <w:rFonts w:cs="Arial"/>
          <w:sz w:val="22"/>
          <w:szCs w:val="22"/>
        </w:rPr>
        <w:t xml:space="preserve">Despite the Outpatient FFT positive score data indicating that we are one of the top 3 performing Trusts in London, context should be given as we are one of the worst performing Trusts for </w:t>
      </w:r>
      <w:r w:rsidR="00E2188F">
        <w:rPr>
          <w:rFonts w:cs="Arial"/>
          <w:sz w:val="22"/>
          <w:szCs w:val="22"/>
        </w:rPr>
        <w:t>response totals across NWL ACP (making up only 12% of the total number of completed surveys)</w:t>
      </w:r>
      <w:r w:rsidRPr="00386EA6">
        <w:rPr>
          <w:rFonts w:cs="Arial"/>
          <w:sz w:val="22"/>
          <w:szCs w:val="22"/>
        </w:rPr>
        <w:t xml:space="preserve">. </w:t>
      </w:r>
      <w:r w:rsidR="00E2188F">
        <w:rPr>
          <w:rFonts w:cs="Arial"/>
          <w:sz w:val="22"/>
          <w:szCs w:val="22"/>
        </w:rPr>
        <w:t xml:space="preserve">Continued efforts have been made with clinical leads to champion responses across their areas however there are challenges with certain administrative staff promoting this. </w:t>
      </w:r>
      <w:r w:rsidR="00F10B85">
        <w:rPr>
          <w:rFonts w:cs="Arial"/>
          <w:sz w:val="22"/>
          <w:szCs w:val="22"/>
        </w:rPr>
        <w:t>There are no significant differences between both hospital site’s outpatient departments, with regards to overall satisfaction score and overall response totals.</w:t>
      </w:r>
    </w:p>
    <w:p w14:paraId="59222C9E" w14:textId="7FAC16CE" w:rsidR="00E2188F" w:rsidRDefault="00E2188F" w:rsidP="002D1C7E">
      <w:pPr>
        <w:jc w:val="both"/>
        <w:rPr>
          <w:rFonts w:cs="Arial"/>
          <w:sz w:val="22"/>
          <w:szCs w:val="22"/>
        </w:rPr>
      </w:pPr>
      <w:r>
        <w:rPr>
          <w:rFonts w:cs="Arial"/>
          <w:b/>
          <w:sz w:val="22"/>
          <w:szCs w:val="22"/>
        </w:rPr>
        <w:t xml:space="preserve">Action: </w:t>
      </w:r>
      <w:r>
        <w:rPr>
          <w:rFonts w:cs="Arial"/>
          <w:sz w:val="22"/>
          <w:szCs w:val="22"/>
        </w:rPr>
        <w:t xml:space="preserve">There needs to be a concerted effort and push to encourage more feedback from all outpatient areas to ensure we are getting a representative picture of outpatient experiences. The patient experience team will also review expenditure for 24-25 to determine if additional funds could </w:t>
      </w:r>
      <w:r>
        <w:rPr>
          <w:rFonts w:cs="Arial"/>
          <w:sz w:val="22"/>
          <w:szCs w:val="22"/>
        </w:rPr>
        <w:lastRenderedPageBreak/>
        <w:t>be used within outpatient areas to improve response numbers, but this will be at the detriment to other area’s responses. An options paper will be submitted to the Executive team detailing options and ideas for this.</w:t>
      </w:r>
    </w:p>
    <w:p w14:paraId="631A84E2" w14:textId="764A61D1" w:rsidR="00461304" w:rsidRDefault="00E54D40" w:rsidP="002D1C7E">
      <w:pPr>
        <w:jc w:val="both"/>
        <w:rPr>
          <w:rFonts w:cs="Arial"/>
          <w:sz w:val="22"/>
          <w:szCs w:val="22"/>
        </w:rPr>
      </w:pPr>
      <w:r>
        <w:rPr>
          <w:rFonts w:cs="Arial"/>
          <w:sz w:val="22"/>
          <w:szCs w:val="22"/>
        </w:rPr>
        <w:t>Scope for improvement based on the outpatient FFT survey results revolve around the themes of appointment issues (cancellations, rescheduling, incorrect timings etc) wait times once in the hospital, waiting environment and communication around treatment/diagnosis/tests.</w:t>
      </w:r>
      <w:r w:rsidR="00461304">
        <w:rPr>
          <w:rFonts w:cs="Arial"/>
          <w:sz w:val="22"/>
          <w:szCs w:val="22"/>
        </w:rPr>
        <w:t xml:space="preserve"> The Trauma &amp; Orthopaedic department have introduced virtual boards in the waiting area and the Ophthalmology department have introduced music, both to improve waiting experiences for patients. New signage will be introduced across the Chelsea and Westminster Hospital site over the coming months and once in place, plans will be to replicate this at West Middlesex University Hospital whilst also looking at more patient friendly wayfinding and navigation systems. Outpatient appointment reminder text messaging has been introduced over the last 12-18 months which has helped improve Did Not Attend (DNA) rates. A Trust wide steering group has been set up, with patient involvement, looking at how we can better improve communication with our patients accessing outpatient care. Outcomes of this group will be noted in the 2024-25 patient experience annual report. </w:t>
      </w:r>
      <w:r>
        <w:rPr>
          <w:rFonts w:cs="Arial"/>
          <w:sz w:val="22"/>
          <w:szCs w:val="22"/>
        </w:rPr>
        <w:t>The number of compliments received within the survey regarding compassionate care outweigh the negative responses.</w:t>
      </w:r>
    </w:p>
    <w:p w14:paraId="6140AA85" w14:textId="09D568B9" w:rsidR="00201C5B" w:rsidRPr="00386EA6" w:rsidRDefault="00201C5B" w:rsidP="002D1C7E">
      <w:pPr>
        <w:spacing w:after="200" w:line="276" w:lineRule="auto"/>
        <w:jc w:val="both"/>
        <w:rPr>
          <w:rFonts w:cs="Arial"/>
          <w:sz w:val="22"/>
          <w:szCs w:val="22"/>
        </w:rPr>
      </w:pPr>
      <w:r w:rsidRPr="00386EA6">
        <w:rPr>
          <w:rFonts w:cs="Arial"/>
          <w:sz w:val="22"/>
          <w:szCs w:val="22"/>
        </w:rPr>
        <w:t xml:space="preserve">For the </w:t>
      </w:r>
      <w:r>
        <w:rPr>
          <w:rFonts w:cs="Arial"/>
          <w:sz w:val="22"/>
          <w:szCs w:val="22"/>
        </w:rPr>
        <w:t>2023-24</w:t>
      </w:r>
      <w:r w:rsidRPr="00386EA6">
        <w:rPr>
          <w:rFonts w:cs="Arial"/>
          <w:sz w:val="22"/>
          <w:szCs w:val="22"/>
        </w:rPr>
        <w:t>, the patient experience team has:</w:t>
      </w:r>
    </w:p>
    <w:p w14:paraId="08DA9E2A" w14:textId="77777777" w:rsidR="00201C5B" w:rsidRPr="00386EA6" w:rsidRDefault="00201C5B" w:rsidP="002D1C7E">
      <w:pPr>
        <w:pStyle w:val="ListParagraph"/>
        <w:numPr>
          <w:ilvl w:val="0"/>
          <w:numId w:val="4"/>
        </w:numPr>
        <w:spacing w:after="200" w:line="276" w:lineRule="auto"/>
        <w:jc w:val="both"/>
        <w:rPr>
          <w:rFonts w:cs="Arial"/>
          <w:sz w:val="22"/>
          <w:szCs w:val="22"/>
        </w:rPr>
      </w:pPr>
      <w:r>
        <w:rPr>
          <w:rFonts w:cs="Arial"/>
          <w:sz w:val="22"/>
          <w:szCs w:val="22"/>
        </w:rPr>
        <w:t>Continued to e</w:t>
      </w:r>
      <w:r w:rsidRPr="00386EA6">
        <w:rPr>
          <w:rFonts w:cs="Arial"/>
          <w:sz w:val="22"/>
          <w:szCs w:val="22"/>
        </w:rPr>
        <w:t>ngage in regular meetings with our data warehouse team and FFT contractor regarding data quality issues. Historically there has been no thorough interrogation of data being submitted.</w:t>
      </w:r>
    </w:p>
    <w:p w14:paraId="45F26FAC" w14:textId="77777777" w:rsidR="00201C5B" w:rsidRDefault="00201C5B" w:rsidP="002D1C7E">
      <w:pPr>
        <w:pStyle w:val="ListParagraph"/>
        <w:numPr>
          <w:ilvl w:val="0"/>
          <w:numId w:val="4"/>
        </w:numPr>
        <w:spacing w:after="200" w:line="276" w:lineRule="auto"/>
        <w:jc w:val="both"/>
        <w:rPr>
          <w:rFonts w:cs="Arial"/>
          <w:sz w:val="22"/>
          <w:szCs w:val="22"/>
        </w:rPr>
      </w:pPr>
      <w:r w:rsidRPr="00386EA6">
        <w:rPr>
          <w:rFonts w:cs="Arial"/>
          <w:sz w:val="22"/>
          <w:szCs w:val="22"/>
        </w:rPr>
        <w:t>Worked closely with service colleagues</w:t>
      </w:r>
      <w:r>
        <w:rPr>
          <w:rFonts w:cs="Arial"/>
          <w:sz w:val="22"/>
          <w:szCs w:val="22"/>
        </w:rPr>
        <w:t xml:space="preserve"> in helping them access and understand FFT data, and offer educational sessions on how to utilise insight data to improve services, most notably within outpatients and maternity</w:t>
      </w:r>
    </w:p>
    <w:p w14:paraId="00B2FF17" w14:textId="77777777" w:rsidR="00201C5B" w:rsidRDefault="00201C5B" w:rsidP="002D1C7E">
      <w:pPr>
        <w:pStyle w:val="ListParagraph"/>
        <w:numPr>
          <w:ilvl w:val="0"/>
          <w:numId w:val="4"/>
        </w:numPr>
        <w:spacing w:after="200" w:line="276" w:lineRule="auto"/>
        <w:jc w:val="both"/>
        <w:rPr>
          <w:rFonts w:cs="Arial"/>
          <w:sz w:val="22"/>
          <w:szCs w:val="22"/>
        </w:rPr>
      </w:pPr>
      <w:r>
        <w:rPr>
          <w:rFonts w:cs="Arial"/>
          <w:sz w:val="22"/>
          <w:szCs w:val="22"/>
        </w:rPr>
        <w:t xml:space="preserve">Identified themes and trends in FFT data, allowing for more focused investigatory work with patients. </w:t>
      </w:r>
    </w:p>
    <w:p w14:paraId="4D09B391" w14:textId="62D49D17" w:rsidR="00201C5B" w:rsidRDefault="00201C5B" w:rsidP="002D1C7E">
      <w:pPr>
        <w:pStyle w:val="ListParagraph"/>
        <w:numPr>
          <w:ilvl w:val="0"/>
          <w:numId w:val="4"/>
        </w:numPr>
        <w:spacing w:after="200" w:line="276" w:lineRule="auto"/>
        <w:jc w:val="both"/>
        <w:rPr>
          <w:rFonts w:cs="Arial"/>
          <w:sz w:val="22"/>
          <w:szCs w:val="22"/>
        </w:rPr>
      </w:pPr>
      <w:r>
        <w:rPr>
          <w:rFonts w:cs="Arial"/>
          <w:sz w:val="22"/>
          <w:szCs w:val="22"/>
        </w:rPr>
        <w:t>Worked collaboratively with NWL ACP providers to understand FFT processes and explore any ideas to improve own working practices</w:t>
      </w:r>
    </w:p>
    <w:p w14:paraId="119B6083" w14:textId="1091B1F8" w:rsidR="009E7BA5" w:rsidRDefault="009E7BA5" w:rsidP="002D1C7E">
      <w:pPr>
        <w:pStyle w:val="ListParagraph"/>
        <w:numPr>
          <w:ilvl w:val="0"/>
          <w:numId w:val="4"/>
        </w:numPr>
        <w:spacing w:after="200" w:line="276" w:lineRule="auto"/>
        <w:jc w:val="both"/>
        <w:rPr>
          <w:rFonts w:cs="Arial"/>
          <w:sz w:val="22"/>
          <w:szCs w:val="22"/>
        </w:rPr>
      </w:pPr>
      <w:r>
        <w:rPr>
          <w:rFonts w:cs="Arial"/>
          <w:sz w:val="22"/>
          <w:szCs w:val="22"/>
        </w:rPr>
        <w:t>Part of CORE ward accreditation group to ensure patient experience plays a pivotal part in reviewing service quality, safety and risk</w:t>
      </w:r>
    </w:p>
    <w:p w14:paraId="4CF2ECD8" w14:textId="77777777" w:rsidR="001372F9" w:rsidRDefault="00E519AB" w:rsidP="002D1C7E">
      <w:pPr>
        <w:spacing w:after="200" w:line="276" w:lineRule="auto"/>
        <w:jc w:val="both"/>
        <w:rPr>
          <w:rFonts w:cs="Arial"/>
          <w:b/>
          <w:sz w:val="22"/>
          <w:szCs w:val="22"/>
        </w:rPr>
      </w:pPr>
      <w:r w:rsidRPr="001372F9">
        <w:rPr>
          <w:rFonts w:cs="Arial"/>
          <w:b/>
          <w:sz w:val="22"/>
          <w:szCs w:val="22"/>
        </w:rPr>
        <w:t>Demography</w:t>
      </w:r>
    </w:p>
    <w:p w14:paraId="4CF21999" w14:textId="347CFA18" w:rsidR="00722603" w:rsidRDefault="001372F9" w:rsidP="001247C0">
      <w:pPr>
        <w:spacing w:after="200"/>
        <w:jc w:val="both"/>
        <w:rPr>
          <w:rFonts w:cs="Arial"/>
          <w:sz w:val="22"/>
          <w:szCs w:val="22"/>
        </w:rPr>
      </w:pPr>
      <w:r>
        <w:rPr>
          <w:rFonts w:cs="Arial"/>
          <w:sz w:val="22"/>
          <w:szCs w:val="22"/>
        </w:rPr>
        <w:t xml:space="preserve">The FFT survey is separated into two parts – the first part being that of the </w:t>
      </w:r>
      <w:r w:rsidR="00722603">
        <w:rPr>
          <w:rFonts w:cs="Arial"/>
          <w:sz w:val="22"/>
          <w:szCs w:val="22"/>
        </w:rPr>
        <w:t>standardised</w:t>
      </w:r>
      <w:r>
        <w:rPr>
          <w:rFonts w:cs="Arial"/>
          <w:sz w:val="22"/>
          <w:szCs w:val="22"/>
        </w:rPr>
        <w:t xml:space="preserve"> experience question and supplementary qualitative question. The second part of the survey asks patients to provide some</w:t>
      </w:r>
      <w:r w:rsidR="002D1C7E">
        <w:rPr>
          <w:rFonts w:cs="Arial"/>
          <w:sz w:val="22"/>
          <w:szCs w:val="22"/>
        </w:rPr>
        <w:t xml:space="preserve"> information about themselves e</w:t>
      </w:r>
      <w:r>
        <w:rPr>
          <w:rFonts w:cs="Arial"/>
          <w:sz w:val="22"/>
          <w:szCs w:val="22"/>
        </w:rPr>
        <w:t>g ethnicity, age, gender, sexual orientation, disability. At the start of 23-24</w:t>
      </w:r>
      <w:r w:rsidR="00722603">
        <w:rPr>
          <w:rFonts w:cs="Arial"/>
          <w:sz w:val="22"/>
          <w:szCs w:val="22"/>
        </w:rPr>
        <w:t>, these demography based questions were not mandated for patients and as such, there were significant gaps in data. The decision was made to make these mandated for patients</w:t>
      </w:r>
      <w:r w:rsidR="001D04E3">
        <w:rPr>
          <w:rFonts w:cs="Arial"/>
          <w:sz w:val="22"/>
          <w:szCs w:val="22"/>
        </w:rPr>
        <w:t xml:space="preserve"> as of Q4, but with the option</w:t>
      </w:r>
      <w:r w:rsidR="00722603">
        <w:rPr>
          <w:rFonts w:cs="Arial"/>
          <w:sz w:val="22"/>
          <w:szCs w:val="22"/>
        </w:rPr>
        <w:t xml:space="preserve"> to respond “prefer not to say”, to help give deeper insights in potential experience inequalities. It is important to note that patients are not expected to provide this information as part of the FFT survey despite it being mandated by CWFT and there is a 35% drop out rate of those patients who continue onto this part of the survey. </w:t>
      </w:r>
    </w:p>
    <w:p w14:paraId="097F6C2D" w14:textId="0FE27C64" w:rsidR="007F6BF6" w:rsidRDefault="001D1784" w:rsidP="001247C0">
      <w:pPr>
        <w:spacing w:after="200"/>
        <w:jc w:val="both"/>
        <w:rPr>
          <w:rFonts w:cs="Arial"/>
          <w:sz w:val="22"/>
          <w:szCs w:val="22"/>
        </w:rPr>
      </w:pPr>
      <w:r>
        <w:rPr>
          <w:rFonts w:cs="Arial"/>
          <w:sz w:val="22"/>
          <w:szCs w:val="22"/>
        </w:rPr>
        <w:t>In Q4 there was more negative feedback left by patients and families from more diverse ethnical backgrounds regarding their experiences in A&amp;E across both sites, however the themes of this feedback did not raise a cause for concern</w:t>
      </w:r>
      <w:r w:rsidR="0001155D">
        <w:rPr>
          <w:rFonts w:cs="Arial"/>
          <w:sz w:val="22"/>
          <w:szCs w:val="22"/>
        </w:rPr>
        <w:t>,</w:t>
      </w:r>
      <w:r>
        <w:rPr>
          <w:rFonts w:cs="Arial"/>
          <w:sz w:val="22"/>
          <w:szCs w:val="22"/>
        </w:rPr>
        <w:t xml:space="preserve"> and links with themes seen in other ethnicities. </w:t>
      </w:r>
    </w:p>
    <w:p w14:paraId="7ECAC5EB" w14:textId="55F6482C" w:rsidR="00887C7D" w:rsidRPr="007F6BF6" w:rsidRDefault="009D10F3" w:rsidP="001247C0">
      <w:pPr>
        <w:spacing w:after="200"/>
        <w:jc w:val="both"/>
        <w:rPr>
          <w:rFonts w:cs="Arial"/>
          <w:sz w:val="22"/>
          <w:szCs w:val="22"/>
        </w:rPr>
      </w:pPr>
      <w:r>
        <w:rPr>
          <w:rFonts w:cs="Arial"/>
          <w:sz w:val="22"/>
          <w:szCs w:val="22"/>
        </w:rPr>
        <w:t xml:space="preserve">Although the trust have started to collect, review and use the demographic data </w:t>
      </w:r>
      <w:r w:rsidR="00FE5FAD">
        <w:rPr>
          <w:rFonts w:cs="Arial"/>
          <w:sz w:val="22"/>
          <w:szCs w:val="22"/>
        </w:rPr>
        <w:t>from completed FFT surveys</w:t>
      </w:r>
      <w:r>
        <w:rPr>
          <w:rFonts w:cs="Arial"/>
          <w:sz w:val="22"/>
          <w:szCs w:val="22"/>
        </w:rPr>
        <w:t xml:space="preserve">, it is not currently possible to extract user friendly reports </w:t>
      </w:r>
      <w:r w:rsidR="00517D7F">
        <w:rPr>
          <w:rFonts w:cs="Arial"/>
          <w:sz w:val="22"/>
          <w:szCs w:val="22"/>
        </w:rPr>
        <w:t>for this</w:t>
      </w:r>
      <w:r>
        <w:rPr>
          <w:rFonts w:cs="Arial"/>
          <w:sz w:val="22"/>
          <w:szCs w:val="22"/>
        </w:rPr>
        <w:t xml:space="preserve"> due to data quality issues and challenges with the reporting functionalities in the </w:t>
      </w:r>
      <w:r w:rsidR="00517D7F">
        <w:rPr>
          <w:rFonts w:cs="Arial"/>
          <w:sz w:val="22"/>
          <w:szCs w:val="22"/>
        </w:rPr>
        <w:t xml:space="preserve">current FFT </w:t>
      </w:r>
      <w:r>
        <w:rPr>
          <w:rFonts w:cs="Arial"/>
          <w:sz w:val="22"/>
          <w:szCs w:val="22"/>
        </w:rPr>
        <w:t xml:space="preserve">solution. </w:t>
      </w:r>
      <w:r w:rsidR="001179CE">
        <w:rPr>
          <w:rFonts w:cs="Arial"/>
          <w:sz w:val="22"/>
          <w:szCs w:val="22"/>
        </w:rPr>
        <w:t xml:space="preserve">The patient experience team are continuing to work with the FFT provider to ensure demography reporting becomes more accessible. </w:t>
      </w:r>
    </w:p>
    <w:p w14:paraId="7B939035" w14:textId="1D1E7A66" w:rsidR="00DB39A7" w:rsidRDefault="00DB39A7" w:rsidP="00EC01A8">
      <w:pPr>
        <w:spacing w:after="200" w:line="276" w:lineRule="auto"/>
        <w:rPr>
          <w:rFonts w:cs="Arial"/>
          <w:b/>
          <w:sz w:val="22"/>
          <w:szCs w:val="22"/>
        </w:rPr>
      </w:pPr>
      <w:r>
        <w:rPr>
          <w:rFonts w:cs="Arial"/>
          <w:b/>
          <w:sz w:val="22"/>
          <w:szCs w:val="22"/>
        </w:rPr>
        <w:lastRenderedPageBreak/>
        <w:t>Issues</w:t>
      </w:r>
      <w:r w:rsidR="00201C5B">
        <w:rPr>
          <w:rFonts w:cs="Arial"/>
          <w:b/>
          <w:sz w:val="22"/>
          <w:szCs w:val="22"/>
        </w:rPr>
        <w:t>, risks and plans to address</w:t>
      </w:r>
    </w:p>
    <w:tbl>
      <w:tblPr>
        <w:tblStyle w:val="TableGrid"/>
        <w:tblW w:w="0" w:type="auto"/>
        <w:tblLook w:val="04A0" w:firstRow="1" w:lastRow="0" w:firstColumn="1" w:lastColumn="0" w:noHBand="0" w:noVBand="1"/>
      </w:tblPr>
      <w:tblGrid>
        <w:gridCol w:w="3412"/>
        <w:gridCol w:w="3339"/>
        <w:gridCol w:w="2877"/>
      </w:tblGrid>
      <w:tr w:rsidR="00FE3238" w14:paraId="27F7064C" w14:textId="26E3181D" w:rsidTr="00201C5B">
        <w:tc>
          <w:tcPr>
            <w:tcW w:w="3412" w:type="dxa"/>
          </w:tcPr>
          <w:p w14:paraId="3DB34D02" w14:textId="4E3C39BE" w:rsidR="00201C5B" w:rsidRDefault="00201C5B" w:rsidP="00EC01A8">
            <w:pPr>
              <w:spacing w:after="200" w:line="276" w:lineRule="auto"/>
              <w:rPr>
                <w:rFonts w:cs="Arial"/>
                <w:b/>
                <w:sz w:val="22"/>
                <w:szCs w:val="22"/>
              </w:rPr>
            </w:pPr>
            <w:r>
              <w:rPr>
                <w:rFonts w:cs="Arial"/>
                <w:b/>
                <w:sz w:val="22"/>
                <w:szCs w:val="22"/>
              </w:rPr>
              <w:t>Issue</w:t>
            </w:r>
          </w:p>
        </w:tc>
        <w:tc>
          <w:tcPr>
            <w:tcW w:w="3339" w:type="dxa"/>
          </w:tcPr>
          <w:p w14:paraId="229E24D0" w14:textId="234FD2CF" w:rsidR="00201C5B" w:rsidRDefault="00201C5B" w:rsidP="00EC01A8">
            <w:pPr>
              <w:spacing w:after="200" w:line="276" w:lineRule="auto"/>
              <w:rPr>
                <w:rFonts w:cs="Arial"/>
                <w:b/>
                <w:sz w:val="22"/>
                <w:szCs w:val="22"/>
              </w:rPr>
            </w:pPr>
            <w:r>
              <w:rPr>
                <w:rFonts w:cs="Arial"/>
                <w:b/>
                <w:sz w:val="22"/>
                <w:szCs w:val="22"/>
              </w:rPr>
              <w:t>Risk</w:t>
            </w:r>
          </w:p>
        </w:tc>
        <w:tc>
          <w:tcPr>
            <w:tcW w:w="2877" w:type="dxa"/>
          </w:tcPr>
          <w:p w14:paraId="7120D983" w14:textId="63222CD3" w:rsidR="00201C5B" w:rsidRDefault="00201C5B" w:rsidP="00EC01A8">
            <w:pPr>
              <w:spacing w:after="200" w:line="276" w:lineRule="auto"/>
              <w:rPr>
                <w:rFonts w:cs="Arial"/>
                <w:b/>
                <w:sz w:val="22"/>
                <w:szCs w:val="22"/>
              </w:rPr>
            </w:pPr>
            <w:r>
              <w:rPr>
                <w:rFonts w:cs="Arial"/>
                <w:b/>
                <w:sz w:val="22"/>
                <w:szCs w:val="22"/>
              </w:rPr>
              <w:t>2024-25 Plans</w:t>
            </w:r>
          </w:p>
        </w:tc>
      </w:tr>
      <w:tr w:rsidR="00FE3238" w14:paraId="24BA4EE9" w14:textId="144573A6" w:rsidTr="00201C5B">
        <w:tc>
          <w:tcPr>
            <w:tcW w:w="3412" w:type="dxa"/>
          </w:tcPr>
          <w:p w14:paraId="4AB95711" w14:textId="71AAA3B0" w:rsidR="00201C5B" w:rsidRPr="009E7BA5" w:rsidRDefault="00201C5B" w:rsidP="00201C5B">
            <w:pPr>
              <w:spacing w:after="200" w:line="276" w:lineRule="auto"/>
              <w:rPr>
                <w:rFonts w:cs="Arial"/>
                <w:sz w:val="22"/>
                <w:szCs w:val="22"/>
              </w:rPr>
            </w:pPr>
            <w:r w:rsidRPr="009E7BA5">
              <w:rPr>
                <w:rFonts w:cs="Arial"/>
                <w:sz w:val="22"/>
                <w:szCs w:val="22"/>
              </w:rPr>
              <w:t>There is still an inconsistent approach across the trust for incorporating FFT</w:t>
            </w:r>
            <w:r w:rsidR="009E7BA5">
              <w:rPr>
                <w:rFonts w:cs="Arial"/>
                <w:sz w:val="22"/>
                <w:szCs w:val="22"/>
              </w:rPr>
              <w:t xml:space="preserve"> into service improvement plans</w:t>
            </w:r>
          </w:p>
        </w:tc>
        <w:tc>
          <w:tcPr>
            <w:tcW w:w="3339" w:type="dxa"/>
          </w:tcPr>
          <w:p w14:paraId="434E0FA0" w14:textId="286657AF" w:rsidR="00201C5B" w:rsidRPr="009E7BA5" w:rsidRDefault="009E7BA5" w:rsidP="00EC01A8">
            <w:pPr>
              <w:spacing w:after="200" w:line="276" w:lineRule="auto"/>
              <w:rPr>
                <w:rFonts w:cs="Arial"/>
                <w:sz w:val="22"/>
                <w:szCs w:val="22"/>
              </w:rPr>
            </w:pPr>
            <w:r>
              <w:rPr>
                <w:rFonts w:cs="Arial"/>
                <w:sz w:val="22"/>
                <w:szCs w:val="22"/>
              </w:rPr>
              <w:t xml:space="preserve">Any service improvements will be ineffective </w:t>
            </w:r>
          </w:p>
        </w:tc>
        <w:tc>
          <w:tcPr>
            <w:tcW w:w="2877" w:type="dxa"/>
          </w:tcPr>
          <w:p w14:paraId="477260ED" w14:textId="7AE4E230" w:rsidR="00201C5B" w:rsidRPr="009E7BA5" w:rsidRDefault="009E7BA5" w:rsidP="00EC01A8">
            <w:pPr>
              <w:spacing w:after="200" w:line="276" w:lineRule="auto"/>
              <w:rPr>
                <w:rFonts w:cs="Arial"/>
                <w:sz w:val="22"/>
                <w:szCs w:val="22"/>
              </w:rPr>
            </w:pPr>
            <w:r>
              <w:rPr>
                <w:rFonts w:cs="Arial"/>
                <w:sz w:val="22"/>
                <w:szCs w:val="22"/>
              </w:rPr>
              <w:t>Patient experience, feedback and involvement to be included in QI training and within shared decision making councils on a regular basis</w:t>
            </w:r>
            <w:r w:rsidR="006E6DE0">
              <w:rPr>
                <w:rFonts w:cs="Arial"/>
                <w:sz w:val="22"/>
                <w:szCs w:val="22"/>
              </w:rPr>
              <w:t xml:space="preserve"> </w:t>
            </w:r>
          </w:p>
        </w:tc>
      </w:tr>
      <w:tr w:rsidR="00FE3238" w14:paraId="046FCBEC" w14:textId="09FD31BA" w:rsidTr="00201C5B">
        <w:tc>
          <w:tcPr>
            <w:tcW w:w="3412" w:type="dxa"/>
          </w:tcPr>
          <w:p w14:paraId="4161F808" w14:textId="77777777" w:rsidR="00201C5B" w:rsidRPr="009E7BA5" w:rsidRDefault="00201C5B" w:rsidP="00201C5B">
            <w:pPr>
              <w:spacing w:after="200" w:line="276" w:lineRule="auto"/>
              <w:rPr>
                <w:rFonts w:cs="Arial"/>
                <w:sz w:val="22"/>
                <w:szCs w:val="22"/>
              </w:rPr>
            </w:pPr>
            <w:r w:rsidRPr="009E7BA5">
              <w:rPr>
                <w:rFonts w:cs="Arial"/>
                <w:sz w:val="22"/>
                <w:szCs w:val="22"/>
              </w:rPr>
              <w:t>There is still an inconsistent approach to capturing the ‘you said we did’ aspect to FFT at a service level</w:t>
            </w:r>
          </w:p>
          <w:p w14:paraId="1A71F5B2" w14:textId="77777777" w:rsidR="00201C5B" w:rsidRPr="009E7BA5" w:rsidRDefault="00201C5B" w:rsidP="00EC01A8">
            <w:pPr>
              <w:spacing w:after="200" w:line="276" w:lineRule="auto"/>
              <w:rPr>
                <w:rFonts w:cs="Arial"/>
                <w:sz w:val="22"/>
                <w:szCs w:val="22"/>
              </w:rPr>
            </w:pPr>
          </w:p>
        </w:tc>
        <w:tc>
          <w:tcPr>
            <w:tcW w:w="3339" w:type="dxa"/>
          </w:tcPr>
          <w:p w14:paraId="20EB7838" w14:textId="71879984" w:rsidR="00201C5B" w:rsidRPr="009E7BA5" w:rsidRDefault="006E6DE0" w:rsidP="00EC01A8">
            <w:pPr>
              <w:spacing w:after="200" w:line="276" w:lineRule="auto"/>
              <w:rPr>
                <w:rFonts w:cs="Arial"/>
                <w:sz w:val="22"/>
                <w:szCs w:val="22"/>
              </w:rPr>
            </w:pPr>
            <w:r>
              <w:rPr>
                <w:rFonts w:cs="Arial"/>
                <w:sz w:val="22"/>
                <w:szCs w:val="22"/>
              </w:rPr>
              <w:t>Loss of trust from patients in hospital acting on feedback and as such, not engaging with the survey programme</w:t>
            </w:r>
          </w:p>
        </w:tc>
        <w:tc>
          <w:tcPr>
            <w:tcW w:w="2877" w:type="dxa"/>
          </w:tcPr>
          <w:p w14:paraId="516966F0" w14:textId="2F3152B2" w:rsidR="00201C5B" w:rsidRPr="009E7BA5" w:rsidRDefault="006E6DE0" w:rsidP="00EC01A8">
            <w:pPr>
              <w:spacing w:after="200" w:line="276" w:lineRule="auto"/>
              <w:rPr>
                <w:rFonts w:cs="Arial"/>
                <w:sz w:val="22"/>
                <w:szCs w:val="22"/>
              </w:rPr>
            </w:pPr>
            <w:r>
              <w:rPr>
                <w:rFonts w:cs="Arial"/>
                <w:sz w:val="22"/>
                <w:szCs w:val="22"/>
              </w:rPr>
              <w:t>Continued engagement with service leads to elicit the “we did” element of FFT and ensure this is being communicated to our patients – PROUD boards, local newsletters, website/social media etc</w:t>
            </w:r>
          </w:p>
        </w:tc>
      </w:tr>
      <w:tr w:rsidR="00FE3238" w14:paraId="449736BD" w14:textId="539EF222" w:rsidTr="00201C5B">
        <w:tc>
          <w:tcPr>
            <w:tcW w:w="3412" w:type="dxa"/>
          </w:tcPr>
          <w:p w14:paraId="4FEECC77" w14:textId="0BE2FB96" w:rsidR="00201C5B" w:rsidRPr="009E7BA5" w:rsidRDefault="00201C5B" w:rsidP="00EC01A8">
            <w:pPr>
              <w:spacing w:after="200" w:line="276" w:lineRule="auto"/>
              <w:rPr>
                <w:rFonts w:cs="Arial"/>
                <w:sz w:val="22"/>
                <w:szCs w:val="22"/>
              </w:rPr>
            </w:pPr>
            <w:r w:rsidRPr="009E7BA5">
              <w:rPr>
                <w:rFonts w:cs="Arial"/>
                <w:sz w:val="22"/>
                <w:szCs w:val="22"/>
              </w:rPr>
              <w:t>FFT question alone does not provide any rich data to understand experiences</w:t>
            </w:r>
          </w:p>
        </w:tc>
        <w:tc>
          <w:tcPr>
            <w:tcW w:w="3339" w:type="dxa"/>
          </w:tcPr>
          <w:p w14:paraId="1726BFC2" w14:textId="16CB2F19" w:rsidR="00201C5B" w:rsidRPr="009E7BA5" w:rsidRDefault="00201C5B" w:rsidP="00201C5B">
            <w:pPr>
              <w:spacing w:after="200" w:line="276" w:lineRule="auto"/>
              <w:rPr>
                <w:rFonts w:cs="Arial"/>
                <w:sz w:val="22"/>
                <w:szCs w:val="22"/>
              </w:rPr>
            </w:pPr>
            <w:r w:rsidRPr="009E7BA5">
              <w:rPr>
                <w:rFonts w:cs="Arial"/>
                <w:sz w:val="22"/>
                <w:szCs w:val="22"/>
              </w:rPr>
              <w:t xml:space="preserve">CWFT does not truly know whether the experiences of our patients is positive or negative, and as such, when more detailed survey programme results are available, this comes as a surprise </w:t>
            </w:r>
          </w:p>
        </w:tc>
        <w:tc>
          <w:tcPr>
            <w:tcW w:w="2877" w:type="dxa"/>
          </w:tcPr>
          <w:p w14:paraId="36244379" w14:textId="77777777" w:rsidR="00201C5B" w:rsidRDefault="00B428A2" w:rsidP="00EC01A8">
            <w:pPr>
              <w:spacing w:after="200" w:line="276" w:lineRule="auto"/>
              <w:rPr>
                <w:rFonts w:cs="Arial"/>
                <w:sz w:val="22"/>
                <w:szCs w:val="22"/>
              </w:rPr>
            </w:pPr>
            <w:r>
              <w:rPr>
                <w:rFonts w:cs="Arial"/>
                <w:sz w:val="22"/>
                <w:szCs w:val="22"/>
              </w:rPr>
              <w:t>Include additional questions in all FFT surveys:</w:t>
            </w:r>
          </w:p>
          <w:p w14:paraId="59A488EB" w14:textId="77777777" w:rsidR="00B428A2" w:rsidRDefault="00B428A2" w:rsidP="004540A7">
            <w:pPr>
              <w:pStyle w:val="ListParagraph"/>
              <w:numPr>
                <w:ilvl w:val="0"/>
                <w:numId w:val="5"/>
              </w:numPr>
              <w:spacing w:after="200" w:line="276" w:lineRule="auto"/>
              <w:rPr>
                <w:rFonts w:cs="Arial"/>
                <w:sz w:val="22"/>
                <w:szCs w:val="22"/>
              </w:rPr>
            </w:pPr>
            <w:r>
              <w:rPr>
                <w:rFonts w:cs="Arial"/>
                <w:sz w:val="22"/>
                <w:szCs w:val="22"/>
              </w:rPr>
              <w:t>A&amp;E</w:t>
            </w:r>
          </w:p>
          <w:p w14:paraId="4B2EE4C6" w14:textId="77777777" w:rsidR="00B428A2" w:rsidRDefault="00B428A2" w:rsidP="004540A7">
            <w:pPr>
              <w:pStyle w:val="ListParagraph"/>
              <w:numPr>
                <w:ilvl w:val="0"/>
                <w:numId w:val="5"/>
              </w:numPr>
              <w:spacing w:after="200" w:line="276" w:lineRule="auto"/>
              <w:rPr>
                <w:rFonts w:cs="Arial"/>
                <w:sz w:val="22"/>
                <w:szCs w:val="22"/>
              </w:rPr>
            </w:pPr>
            <w:r>
              <w:rPr>
                <w:rFonts w:cs="Arial"/>
                <w:sz w:val="22"/>
                <w:szCs w:val="22"/>
              </w:rPr>
              <w:t>Inpatient</w:t>
            </w:r>
          </w:p>
          <w:p w14:paraId="35922453" w14:textId="77777777" w:rsidR="00B428A2" w:rsidRDefault="00B428A2" w:rsidP="004540A7">
            <w:pPr>
              <w:pStyle w:val="ListParagraph"/>
              <w:numPr>
                <w:ilvl w:val="0"/>
                <w:numId w:val="5"/>
              </w:numPr>
              <w:spacing w:after="200" w:line="276" w:lineRule="auto"/>
              <w:rPr>
                <w:rFonts w:cs="Arial"/>
                <w:sz w:val="22"/>
                <w:szCs w:val="22"/>
              </w:rPr>
            </w:pPr>
            <w:r>
              <w:rPr>
                <w:rFonts w:cs="Arial"/>
                <w:sz w:val="22"/>
                <w:szCs w:val="22"/>
              </w:rPr>
              <w:t>Maternity</w:t>
            </w:r>
          </w:p>
          <w:p w14:paraId="500275D5" w14:textId="77777777" w:rsidR="00B428A2" w:rsidRDefault="00B428A2" w:rsidP="004540A7">
            <w:pPr>
              <w:pStyle w:val="ListParagraph"/>
              <w:numPr>
                <w:ilvl w:val="0"/>
                <w:numId w:val="5"/>
              </w:numPr>
              <w:spacing w:after="200" w:line="276" w:lineRule="auto"/>
              <w:rPr>
                <w:rFonts w:cs="Arial"/>
                <w:sz w:val="22"/>
                <w:szCs w:val="22"/>
              </w:rPr>
            </w:pPr>
            <w:r>
              <w:rPr>
                <w:rFonts w:cs="Arial"/>
                <w:sz w:val="22"/>
                <w:szCs w:val="22"/>
              </w:rPr>
              <w:t>Outpatient</w:t>
            </w:r>
          </w:p>
          <w:p w14:paraId="13BBE03D" w14:textId="5AD0315E" w:rsidR="00B428A2" w:rsidRPr="00B428A2" w:rsidRDefault="00B428A2" w:rsidP="00B428A2">
            <w:pPr>
              <w:spacing w:after="200" w:line="276" w:lineRule="auto"/>
              <w:rPr>
                <w:rFonts w:cs="Arial"/>
                <w:sz w:val="22"/>
                <w:szCs w:val="22"/>
              </w:rPr>
            </w:pPr>
            <w:r>
              <w:rPr>
                <w:rFonts w:cs="Arial"/>
                <w:sz w:val="22"/>
                <w:szCs w:val="22"/>
              </w:rPr>
              <w:t>Ensure other feedback mechanisms such as ward accreditation, complaints/PALS are being triangulated with FFT data</w:t>
            </w:r>
          </w:p>
        </w:tc>
      </w:tr>
      <w:tr w:rsidR="00FE3238" w14:paraId="4839CC97" w14:textId="29964E7E" w:rsidTr="00201C5B">
        <w:tc>
          <w:tcPr>
            <w:tcW w:w="3412" w:type="dxa"/>
          </w:tcPr>
          <w:p w14:paraId="7EAEAB29" w14:textId="0D6F6298" w:rsidR="00201C5B" w:rsidRPr="009E7BA5" w:rsidRDefault="00201C5B" w:rsidP="00933259">
            <w:pPr>
              <w:spacing w:after="200" w:line="276" w:lineRule="auto"/>
              <w:rPr>
                <w:rFonts w:cs="Arial"/>
                <w:sz w:val="22"/>
                <w:szCs w:val="22"/>
              </w:rPr>
            </w:pPr>
            <w:r w:rsidRPr="009E7BA5">
              <w:rPr>
                <w:rFonts w:cs="Arial"/>
                <w:sz w:val="22"/>
                <w:szCs w:val="22"/>
              </w:rPr>
              <w:t>Continued data quality issues on the dashboard resulting in some services, predominantly sexual health, not having full confidence in the feedback data available to them</w:t>
            </w:r>
          </w:p>
        </w:tc>
        <w:tc>
          <w:tcPr>
            <w:tcW w:w="3339" w:type="dxa"/>
          </w:tcPr>
          <w:p w14:paraId="0DE93F9B" w14:textId="110D7DF0" w:rsidR="00201C5B" w:rsidRPr="009E7BA5" w:rsidRDefault="00B86AD8" w:rsidP="00933259">
            <w:pPr>
              <w:spacing w:after="200" w:line="276" w:lineRule="auto"/>
              <w:rPr>
                <w:rFonts w:cs="Arial"/>
                <w:sz w:val="22"/>
                <w:szCs w:val="22"/>
              </w:rPr>
            </w:pPr>
            <w:r>
              <w:rPr>
                <w:rFonts w:cs="Arial"/>
                <w:sz w:val="22"/>
                <w:szCs w:val="22"/>
              </w:rPr>
              <w:t>Inaccurate results give false impression to service on the experiences of patients, and as such, experience may not improve if needed</w:t>
            </w:r>
          </w:p>
        </w:tc>
        <w:tc>
          <w:tcPr>
            <w:tcW w:w="2877" w:type="dxa"/>
          </w:tcPr>
          <w:p w14:paraId="064DF272" w14:textId="675DAB3D" w:rsidR="00201C5B" w:rsidRPr="009E7BA5" w:rsidRDefault="00B86AD8" w:rsidP="00933259">
            <w:pPr>
              <w:spacing w:after="200" w:line="276" w:lineRule="auto"/>
              <w:rPr>
                <w:rFonts w:cs="Arial"/>
                <w:sz w:val="22"/>
                <w:szCs w:val="22"/>
              </w:rPr>
            </w:pPr>
            <w:r>
              <w:rPr>
                <w:rFonts w:cs="Arial"/>
                <w:sz w:val="22"/>
                <w:szCs w:val="22"/>
              </w:rPr>
              <w:t>Continued work with data warehouse and FFT provider to ensure locations and data are accurate on dashboard</w:t>
            </w:r>
          </w:p>
        </w:tc>
      </w:tr>
      <w:tr w:rsidR="00FE3238" w14:paraId="417FD178" w14:textId="775ABB81" w:rsidTr="00201C5B">
        <w:tc>
          <w:tcPr>
            <w:tcW w:w="3412" w:type="dxa"/>
          </w:tcPr>
          <w:p w14:paraId="2A3BC7A3" w14:textId="6F38D42A" w:rsidR="00201C5B" w:rsidRPr="009E7BA5" w:rsidRDefault="00FE3238" w:rsidP="00C4513B">
            <w:pPr>
              <w:spacing w:after="200" w:line="276" w:lineRule="auto"/>
              <w:rPr>
                <w:rFonts w:cs="Arial"/>
                <w:sz w:val="22"/>
                <w:szCs w:val="22"/>
              </w:rPr>
            </w:pPr>
            <w:r>
              <w:rPr>
                <w:rFonts w:cs="Arial"/>
                <w:sz w:val="22"/>
                <w:szCs w:val="22"/>
              </w:rPr>
              <w:t xml:space="preserve">Challenge </w:t>
            </w:r>
            <w:r w:rsidR="00C4513B">
              <w:rPr>
                <w:rFonts w:cs="Arial"/>
                <w:sz w:val="22"/>
                <w:szCs w:val="22"/>
              </w:rPr>
              <w:t>with</w:t>
            </w:r>
            <w:r>
              <w:rPr>
                <w:rFonts w:cs="Arial"/>
                <w:sz w:val="22"/>
                <w:szCs w:val="22"/>
              </w:rPr>
              <w:t xml:space="preserve"> adapting internal data reporting processes </w:t>
            </w:r>
            <w:r w:rsidR="00201C5B" w:rsidRPr="009E7BA5">
              <w:rPr>
                <w:rFonts w:cs="Arial"/>
                <w:sz w:val="22"/>
                <w:szCs w:val="22"/>
              </w:rPr>
              <w:t>to ensure response rates are accurate for certain areas</w:t>
            </w:r>
          </w:p>
        </w:tc>
        <w:tc>
          <w:tcPr>
            <w:tcW w:w="3339" w:type="dxa"/>
          </w:tcPr>
          <w:p w14:paraId="5266816B" w14:textId="01FE9408" w:rsidR="00201C5B" w:rsidRPr="009E7BA5" w:rsidRDefault="00B86AD8" w:rsidP="00933259">
            <w:pPr>
              <w:spacing w:after="200" w:line="276" w:lineRule="auto"/>
              <w:rPr>
                <w:rFonts w:cs="Arial"/>
                <w:sz w:val="22"/>
                <w:szCs w:val="22"/>
              </w:rPr>
            </w:pPr>
            <w:r>
              <w:rPr>
                <w:rFonts w:cs="Arial"/>
                <w:sz w:val="22"/>
                <w:szCs w:val="22"/>
              </w:rPr>
              <w:t xml:space="preserve">Lose trust of staff in FFT process and lose credibility of patients and regulators with incorrect published data </w:t>
            </w:r>
          </w:p>
        </w:tc>
        <w:tc>
          <w:tcPr>
            <w:tcW w:w="2877" w:type="dxa"/>
          </w:tcPr>
          <w:p w14:paraId="6ED837A0" w14:textId="2BA4AC51" w:rsidR="00201C5B" w:rsidRPr="009E7BA5" w:rsidRDefault="00B86AD8" w:rsidP="00933259">
            <w:pPr>
              <w:spacing w:after="200" w:line="276" w:lineRule="auto"/>
              <w:rPr>
                <w:rFonts w:cs="Arial"/>
                <w:sz w:val="22"/>
                <w:szCs w:val="22"/>
              </w:rPr>
            </w:pPr>
            <w:r>
              <w:rPr>
                <w:rFonts w:cs="Arial"/>
                <w:sz w:val="22"/>
                <w:szCs w:val="22"/>
              </w:rPr>
              <w:t>Continued work with data warehouse to implement new processes to ensure accurate data is reported</w:t>
            </w:r>
          </w:p>
        </w:tc>
      </w:tr>
      <w:tr w:rsidR="00FE3238" w14:paraId="4328830D" w14:textId="77DAE763" w:rsidTr="00201C5B">
        <w:tc>
          <w:tcPr>
            <w:tcW w:w="3412" w:type="dxa"/>
          </w:tcPr>
          <w:p w14:paraId="41242D16" w14:textId="65FB82A6" w:rsidR="00201C5B" w:rsidRPr="009E7BA5" w:rsidRDefault="00201C5B" w:rsidP="00933259">
            <w:pPr>
              <w:spacing w:after="200" w:line="276" w:lineRule="auto"/>
              <w:rPr>
                <w:rFonts w:cs="Arial"/>
                <w:sz w:val="22"/>
                <w:szCs w:val="22"/>
              </w:rPr>
            </w:pPr>
            <w:r w:rsidRPr="009E7BA5">
              <w:rPr>
                <w:rFonts w:cs="Arial"/>
                <w:sz w:val="22"/>
                <w:szCs w:val="22"/>
              </w:rPr>
              <w:t xml:space="preserve">Ongoing contractual </w:t>
            </w:r>
            <w:r w:rsidR="00E519AB">
              <w:rPr>
                <w:rFonts w:cs="Arial"/>
                <w:sz w:val="22"/>
                <w:szCs w:val="22"/>
              </w:rPr>
              <w:t xml:space="preserve">and system </w:t>
            </w:r>
            <w:r w:rsidRPr="009E7BA5">
              <w:rPr>
                <w:rFonts w:cs="Arial"/>
                <w:sz w:val="22"/>
                <w:szCs w:val="22"/>
              </w:rPr>
              <w:t>issues with FFT provider</w:t>
            </w:r>
            <w:r w:rsidR="00E519AB">
              <w:rPr>
                <w:rFonts w:cs="Arial"/>
                <w:sz w:val="22"/>
                <w:szCs w:val="22"/>
              </w:rPr>
              <w:t xml:space="preserve"> </w:t>
            </w:r>
          </w:p>
        </w:tc>
        <w:tc>
          <w:tcPr>
            <w:tcW w:w="3339" w:type="dxa"/>
          </w:tcPr>
          <w:p w14:paraId="6F0559AC" w14:textId="77777777" w:rsidR="00201C5B" w:rsidRDefault="00E519AB" w:rsidP="00933259">
            <w:pPr>
              <w:spacing w:after="200" w:line="276" w:lineRule="auto"/>
              <w:rPr>
                <w:rFonts w:cs="Arial"/>
                <w:sz w:val="22"/>
                <w:szCs w:val="22"/>
              </w:rPr>
            </w:pPr>
            <w:r>
              <w:rPr>
                <w:rFonts w:cs="Arial"/>
                <w:sz w:val="22"/>
                <w:szCs w:val="22"/>
              </w:rPr>
              <w:t xml:space="preserve">Unable to automatically review and report on FFT demography data and therefore unable to </w:t>
            </w:r>
            <w:r>
              <w:rPr>
                <w:rFonts w:cs="Arial"/>
                <w:sz w:val="22"/>
                <w:szCs w:val="22"/>
              </w:rPr>
              <w:lastRenderedPageBreak/>
              <w:t>identify inequalities in experiences</w:t>
            </w:r>
          </w:p>
          <w:p w14:paraId="23E27ED5" w14:textId="54058D84" w:rsidR="00E519AB" w:rsidRPr="009E7BA5" w:rsidRDefault="00E519AB" w:rsidP="00933259">
            <w:pPr>
              <w:spacing w:after="200" w:line="276" w:lineRule="auto"/>
              <w:rPr>
                <w:rFonts w:cs="Arial"/>
                <w:sz w:val="22"/>
                <w:szCs w:val="22"/>
              </w:rPr>
            </w:pPr>
            <w:r>
              <w:rPr>
                <w:rFonts w:cs="Arial"/>
                <w:sz w:val="22"/>
                <w:szCs w:val="22"/>
              </w:rPr>
              <w:t xml:space="preserve">Unable to review and action spend in a timely manner </w:t>
            </w:r>
          </w:p>
        </w:tc>
        <w:tc>
          <w:tcPr>
            <w:tcW w:w="2877" w:type="dxa"/>
          </w:tcPr>
          <w:p w14:paraId="23EBC152" w14:textId="0037A135" w:rsidR="00201C5B" w:rsidRPr="009E7BA5" w:rsidRDefault="00FE3238" w:rsidP="00933259">
            <w:pPr>
              <w:spacing w:after="200" w:line="276" w:lineRule="auto"/>
              <w:rPr>
                <w:rFonts w:cs="Arial"/>
                <w:sz w:val="22"/>
                <w:szCs w:val="22"/>
              </w:rPr>
            </w:pPr>
            <w:r>
              <w:rPr>
                <w:rFonts w:cs="Arial"/>
                <w:sz w:val="22"/>
                <w:szCs w:val="22"/>
              </w:rPr>
              <w:lastRenderedPageBreak/>
              <w:t xml:space="preserve">NWL APC procurement underway with an anticipated date for a new </w:t>
            </w:r>
            <w:r>
              <w:rPr>
                <w:rFonts w:cs="Arial"/>
                <w:sz w:val="22"/>
                <w:szCs w:val="22"/>
              </w:rPr>
              <w:lastRenderedPageBreak/>
              <w:t>provider by September 2024</w:t>
            </w:r>
          </w:p>
        </w:tc>
      </w:tr>
    </w:tbl>
    <w:p w14:paraId="07B16782" w14:textId="77777777" w:rsidR="00201C5B" w:rsidRDefault="00201C5B" w:rsidP="00EC01A8">
      <w:pPr>
        <w:spacing w:after="200" w:line="276" w:lineRule="auto"/>
        <w:rPr>
          <w:rFonts w:cs="Arial"/>
          <w:b/>
          <w:sz w:val="22"/>
          <w:szCs w:val="22"/>
        </w:rPr>
      </w:pPr>
    </w:p>
    <w:p w14:paraId="5B498A4E" w14:textId="4DEB227B" w:rsidR="00420305" w:rsidRPr="0043188A" w:rsidRDefault="00420305" w:rsidP="002D1C7E">
      <w:pPr>
        <w:spacing w:after="200" w:line="276" w:lineRule="auto"/>
        <w:jc w:val="both"/>
        <w:rPr>
          <w:rFonts w:cs="Arial"/>
          <w:b/>
          <w:noProof/>
          <w:szCs w:val="22"/>
          <w:lang w:eastAsia="en-GB"/>
        </w:rPr>
      </w:pPr>
      <w:r w:rsidRPr="0043188A">
        <w:rPr>
          <w:rFonts w:cs="Arial"/>
          <w:b/>
          <w:noProof/>
          <w:szCs w:val="22"/>
          <w:lang w:eastAsia="en-GB"/>
        </w:rPr>
        <w:t>National Patient Surveys</w:t>
      </w:r>
    </w:p>
    <w:p w14:paraId="73E137E8" w14:textId="535B151C" w:rsidR="001A633A" w:rsidRPr="00386EA6" w:rsidRDefault="001A633A" w:rsidP="002D1C7E">
      <w:pPr>
        <w:spacing w:after="200" w:line="276" w:lineRule="auto"/>
        <w:jc w:val="both"/>
        <w:rPr>
          <w:rFonts w:cs="Arial"/>
          <w:sz w:val="22"/>
          <w:szCs w:val="22"/>
        </w:rPr>
      </w:pPr>
      <w:r w:rsidRPr="00386EA6">
        <w:rPr>
          <w:rFonts w:cs="Arial"/>
          <w:sz w:val="22"/>
          <w:szCs w:val="22"/>
        </w:rPr>
        <w:t xml:space="preserve">Information from patient experience surveys is one way to understand what service users think about their recent care and treatment. The CQC run a national patient survey programme which is specifically targeted at Inpatients and Maternity patients on a yearly basis and Urgent &amp; Emergency Care and Children &amp; Young People every two years. </w:t>
      </w:r>
      <w:r w:rsidR="007778CB" w:rsidRPr="00386EA6">
        <w:rPr>
          <w:rFonts w:cs="Arial"/>
          <w:sz w:val="22"/>
          <w:szCs w:val="22"/>
        </w:rPr>
        <w:t xml:space="preserve">Over recent years there have been further surveys added to this programme including the Cancer Patient Experience Survey </w:t>
      </w:r>
      <w:r w:rsidR="0070316B" w:rsidRPr="00386EA6">
        <w:rPr>
          <w:rFonts w:cs="Arial"/>
          <w:sz w:val="22"/>
          <w:szCs w:val="22"/>
        </w:rPr>
        <w:t>on</w:t>
      </w:r>
      <w:r w:rsidR="007778CB" w:rsidRPr="00386EA6">
        <w:rPr>
          <w:rFonts w:cs="Arial"/>
          <w:sz w:val="22"/>
          <w:szCs w:val="22"/>
        </w:rPr>
        <w:t xml:space="preserve"> behalf of NHS England and the National Stroke Survey. </w:t>
      </w:r>
    </w:p>
    <w:p w14:paraId="4656EB84" w14:textId="3279C729" w:rsidR="002E7A4B" w:rsidRDefault="002E7A4B" w:rsidP="002D1C7E">
      <w:pPr>
        <w:spacing w:after="200" w:line="276" w:lineRule="auto"/>
        <w:jc w:val="both"/>
        <w:rPr>
          <w:rFonts w:cs="Arial"/>
          <w:sz w:val="22"/>
          <w:szCs w:val="22"/>
        </w:rPr>
      </w:pPr>
      <w:r>
        <w:rPr>
          <w:rFonts w:cs="Arial"/>
          <w:sz w:val="22"/>
          <w:szCs w:val="22"/>
        </w:rPr>
        <w:t>In 2023-24 year, the following surveys were undertaken or results made available:</w:t>
      </w:r>
    </w:p>
    <w:p w14:paraId="32DE8FB9" w14:textId="05D0BEE7" w:rsidR="002E7A4B" w:rsidRDefault="002E7A4B" w:rsidP="002D1C7E">
      <w:pPr>
        <w:pStyle w:val="ListParagraph"/>
        <w:numPr>
          <w:ilvl w:val="0"/>
          <w:numId w:val="5"/>
        </w:numPr>
        <w:spacing w:after="200" w:line="276" w:lineRule="auto"/>
        <w:jc w:val="both"/>
        <w:rPr>
          <w:rFonts w:cs="Arial"/>
          <w:sz w:val="22"/>
          <w:szCs w:val="22"/>
        </w:rPr>
      </w:pPr>
      <w:r>
        <w:rPr>
          <w:rFonts w:cs="Arial"/>
          <w:sz w:val="22"/>
          <w:szCs w:val="22"/>
        </w:rPr>
        <w:t>National Cancer Patient Experience Survey 2022 – 12</w:t>
      </w:r>
      <w:r w:rsidRPr="002E7A4B">
        <w:rPr>
          <w:rFonts w:cs="Arial"/>
          <w:sz w:val="22"/>
          <w:szCs w:val="22"/>
          <w:vertAlign w:val="superscript"/>
        </w:rPr>
        <w:t>th</w:t>
      </w:r>
      <w:r>
        <w:rPr>
          <w:rFonts w:cs="Arial"/>
          <w:sz w:val="22"/>
          <w:szCs w:val="22"/>
        </w:rPr>
        <w:t xml:space="preserve"> iteration of the survey. Results published on 25</w:t>
      </w:r>
      <w:r w:rsidRPr="002E7A4B">
        <w:rPr>
          <w:rFonts w:cs="Arial"/>
          <w:sz w:val="22"/>
          <w:szCs w:val="22"/>
          <w:vertAlign w:val="superscript"/>
        </w:rPr>
        <w:t>th</w:t>
      </w:r>
      <w:r>
        <w:rPr>
          <w:rFonts w:cs="Arial"/>
          <w:sz w:val="22"/>
          <w:szCs w:val="22"/>
        </w:rPr>
        <w:t xml:space="preserve"> July 2023 and briefing paper shared with EMB </w:t>
      </w:r>
      <w:r w:rsidR="0099228B">
        <w:rPr>
          <w:rFonts w:cs="Arial"/>
          <w:sz w:val="22"/>
          <w:szCs w:val="22"/>
        </w:rPr>
        <w:t>in September 2023</w:t>
      </w:r>
      <w:r>
        <w:rPr>
          <w:rFonts w:cs="Arial"/>
          <w:sz w:val="22"/>
          <w:szCs w:val="22"/>
        </w:rPr>
        <w:t xml:space="preserve"> with associated action plan.</w:t>
      </w:r>
    </w:p>
    <w:p w14:paraId="7E7B7E1C" w14:textId="2A308460" w:rsidR="00CA4BEF" w:rsidRDefault="00CA4BEF" w:rsidP="002D1C7E">
      <w:pPr>
        <w:pStyle w:val="ListParagraph"/>
        <w:numPr>
          <w:ilvl w:val="0"/>
          <w:numId w:val="5"/>
        </w:numPr>
        <w:spacing w:after="200" w:line="276" w:lineRule="auto"/>
        <w:jc w:val="both"/>
        <w:rPr>
          <w:rFonts w:cs="Arial"/>
          <w:sz w:val="22"/>
          <w:szCs w:val="22"/>
        </w:rPr>
      </w:pPr>
      <w:r>
        <w:rPr>
          <w:rFonts w:cs="Arial"/>
          <w:sz w:val="22"/>
          <w:szCs w:val="22"/>
        </w:rPr>
        <w:t>Urgent and Emergency Care Survey 2022 – CQC benchmarking report published on 8</w:t>
      </w:r>
      <w:r w:rsidRPr="00CA4BEF">
        <w:rPr>
          <w:rFonts w:cs="Arial"/>
          <w:sz w:val="22"/>
          <w:szCs w:val="22"/>
          <w:vertAlign w:val="superscript"/>
        </w:rPr>
        <w:t>th</w:t>
      </w:r>
      <w:r>
        <w:rPr>
          <w:rFonts w:cs="Arial"/>
          <w:sz w:val="22"/>
          <w:szCs w:val="22"/>
        </w:rPr>
        <w:t xml:space="preserve"> August 2023 and full report with associated action plan shared with EMB in September 2023.</w:t>
      </w:r>
    </w:p>
    <w:p w14:paraId="4EE0F3DB" w14:textId="7A9275A5" w:rsidR="002E7A4B" w:rsidRDefault="002E7A4B" w:rsidP="002D1C7E">
      <w:pPr>
        <w:pStyle w:val="ListParagraph"/>
        <w:numPr>
          <w:ilvl w:val="0"/>
          <w:numId w:val="5"/>
        </w:numPr>
        <w:spacing w:after="200" w:line="276" w:lineRule="auto"/>
        <w:jc w:val="both"/>
        <w:rPr>
          <w:rFonts w:cs="Arial"/>
          <w:sz w:val="22"/>
          <w:szCs w:val="22"/>
        </w:rPr>
      </w:pPr>
      <w:r>
        <w:rPr>
          <w:rFonts w:cs="Arial"/>
          <w:sz w:val="22"/>
          <w:szCs w:val="22"/>
        </w:rPr>
        <w:t xml:space="preserve">National Inpatient Survey. CQC benchmarking report for the 2022 iteration of this survey published </w:t>
      </w:r>
      <w:r w:rsidR="00CA4BEF">
        <w:rPr>
          <w:rFonts w:cs="Arial"/>
          <w:sz w:val="22"/>
          <w:szCs w:val="22"/>
        </w:rPr>
        <w:t>on 12</w:t>
      </w:r>
      <w:r w:rsidR="00CA4BEF" w:rsidRPr="00CA4BEF">
        <w:rPr>
          <w:rFonts w:cs="Arial"/>
          <w:sz w:val="22"/>
          <w:szCs w:val="22"/>
          <w:vertAlign w:val="superscript"/>
        </w:rPr>
        <w:t>th</w:t>
      </w:r>
      <w:r w:rsidR="00CA4BEF">
        <w:rPr>
          <w:rFonts w:cs="Arial"/>
          <w:sz w:val="22"/>
          <w:szCs w:val="22"/>
        </w:rPr>
        <w:t xml:space="preserve"> September 2023. Full report and action plan shared with EMB in October 2023. Fieldwork for the 2023 iteration of this survey is due to be completed by the end of April 2024 for November 2023’s cohort of patients - it is anticipated the trust will be provided with the initial results in June 2024.</w:t>
      </w:r>
    </w:p>
    <w:p w14:paraId="53E02D3D" w14:textId="569BF80A" w:rsidR="002E7A4B" w:rsidRDefault="002E7A4B" w:rsidP="002D1C7E">
      <w:pPr>
        <w:pStyle w:val="ListParagraph"/>
        <w:numPr>
          <w:ilvl w:val="0"/>
          <w:numId w:val="5"/>
        </w:numPr>
        <w:spacing w:after="200" w:line="276" w:lineRule="auto"/>
        <w:jc w:val="both"/>
        <w:rPr>
          <w:rFonts w:cs="Arial"/>
          <w:sz w:val="22"/>
          <w:szCs w:val="22"/>
        </w:rPr>
      </w:pPr>
      <w:r>
        <w:rPr>
          <w:rFonts w:cs="Arial"/>
          <w:sz w:val="22"/>
          <w:szCs w:val="22"/>
        </w:rPr>
        <w:t xml:space="preserve">National maternity survey. </w:t>
      </w:r>
      <w:r w:rsidR="00DF6CA0">
        <w:rPr>
          <w:rFonts w:cs="Arial"/>
          <w:sz w:val="22"/>
          <w:szCs w:val="22"/>
        </w:rPr>
        <w:t xml:space="preserve">CQC benchmarking report for the 2023 iteration of this survey was published on </w:t>
      </w:r>
      <w:r>
        <w:rPr>
          <w:rFonts w:cs="Arial"/>
          <w:sz w:val="22"/>
          <w:szCs w:val="22"/>
        </w:rPr>
        <w:t>February 2024.</w:t>
      </w:r>
    </w:p>
    <w:p w14:paraId="14F89F7D" w14:textId="6FFFB94F" w:rsidR="00794443" w:rsidRDefault="00794443" w:rsidP="002D1C7E">
      <w:pPr>
        <w:pStyle w:val="ListParagraph"/>
        <w:numPr>
          <w:ilvl w:val="0"/>
          <w:numId w:val="5"/>
        </w:numPr>
        <w:spacing w:after="200" w:line="276" w:lineRule="auto"/>
        <w:jc w:val="both"/>
        <w:rPr>
          <w:rFonts w:cs="Arial"/>
          <w:sz w:val="22"/>
          <w:szCs w:val="22"/>
        </w:rPr>
      </w:pPr>
      <w:r>
        <w:rPr>
          <w:rFonts w:cs="Arial"/>
          <w:sz w:val="22"/>
          <w:szCs w:val="22"/>
        </w:rPr>
        <w:t>National Stroke S</w:t>
      </w:r>
      <w:r w:rsidR="00DF6CA0">
        <w:rPr>
          <w:rFonts w:cs="Arial"/>
          <w:sz w:val="22"/>
          <w:szCs w:val="22"/>
        </w:rPr>
        <w:t xml:space="preserve">urvey 2022. This was a pilot survey looking into the experiences of patients who were seen as a day case or inpatient for stroke related treatment between May – September 2022. Results were made available to the trust in August. Results were shared at the PPEEG in September 2023. </w:t>
      </w:r>
    </w:p>
    <w:p w14:paraId="51493C85" w14:textId="77777777" w:rsidR="002914E5" w:rsidRDefault="002914E5">
      <w:pPr>
        <w:spacing w:after="200" w:line="276" w:lineRule="auto"/>
        <w:rPr>
          <w:rFonts w:cs="Arial"/>
          <w:sz w:val="22"/>
          <w:szCs w:val="22"/>
          <w:u w:val="single"/>
        </w:rPr>
      </w:pPr>
      <w:r>
        <w:rPr>
          <w:rFonts w:cs="Arial"/>
          <w:sz w:val="22"/>
          <w:szCs w:val="22"/>
          <w:u w:val="single"/>
        </w:rPr>
        <w:br w:type="page"/>
      </w:r>
    </w:p>
    <w:p w14:paraId="704416A5" w14:textId="5C194A6E" w:rsidR="00144328" w:rsidRPr="00144328" w:rsidRDefault="001039C1" w:rsidP="00144328">
      <w:pPr>
        <w:spacing w:after="200" w:line="276" w:lineRule="auto"/>
        <w:rPr>
          <w:rFonts w:cs="Arial"/>
          <w:sz w:val="22"/>
          <w:szCs w:val="22"/>
          <w:u w:val="single"/>
        </w:rPr>
      </w:pPr>
      <w:r>
        <w:rPr>
          <w:rFonts w:cs="Arial"/>
          <w:sz w:val="22"/>
          <w:szCs w:val="22"/>
          <w:u w:val="single"/>
        </w:rPr>
        <w:lastRenderedPageBreak/>
        <w:t xml:space="preserve">Figure 15 </w:t>
      </w:r>
      <w:r w:rsidR="00144328" w:rsidRPr="00144328">
        <w:rPr>
          <w:rFonts w:cs="Arial"/>
          <w:sz w:val="22"/>
          <w:szCs w:val="22"/>
          <w:u w:val="single"/>
        </w:rPr>
        <w:t>High level summary – UEC 2022 benchmarking report</w:t>
      </w:r>
    </w:p>
    <w:p w14:paraId="677EC23C" w14:textId="5D8B8C1F" w:rsidR="00144328" w:rsidRPr="00386EA6" w:rsidRDefault="00144328" w:rsidP="00DF6CA0">
      <w:pPr>
        <w:spacing w:after="200" w:line="276" w:lineRule="auto"/>
        <w:jc w:val="center"/>
        <w:rPr>
          <w:rFonts w:cs="Arial"/>
          <w:sz w:val="22"/>
          <w:szCs w:val="22"/>
          <w:u w:val="single"/>
        </w:rPr>
      </w:pPr>
      <w:r>
        <w:rPr>
          <w:noProof/>
          <w:lang w:eastAsia="en-GB"/>
        </w:rPr>
        <w:drawing>
          <wp:inline distT="0" distB="0" distL="0" distR="0" wp14:anchorId="4D8B5D20" wp14:editId="03183F07">
            <wp:extent cx="5443870" cy="3161345"/>
            <wp:effectExtent l="0" t="0" r="4445"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375" t="21808" r="17999" b="8912"/>
                    <a:stretch/>
                  </pic:blipFill>
                  <pic:spPr bwMode="auto">
                    <a:xfrm>
                      <a:off x="0" y="0"/>
                      <a:ext cx="5453060" cy="3166682"/>
                    </a:xfrm>
                    <a:prstGeom prst="rect">
                      <a:avLst/>
                    </a:prstGeom>
                    <a:ln>
                      <a:noFill/>
                    </a:ln>
                    <a:extLst>
                      <a:ext uri="{53640926-AAD7-44D8-BBD7-CCE9431645EC}">
                        <a14:shadowObscured xmlns:a14="http://schemas.microsoft.com/office/drawing/2010/main"/>
                      </a:ext>
                    </a:extLst>
                  </pic:spPr>
                </pic:pic>
              </a:graphicData>
            </a:graphic>
          </wp:inline>
        </w:drawing>
      </w:r>
    </w:p>
    <w:p w14:paraId="7E0BC2DB" w14:textId="1EA87ED5" w:rsidR="001A633A" w:rsidRPr="00386EA6" w:rsidRDefault="001A633A" w:rsidP="007778CB">
      <w:pPr>
        <w:spacing w:after="200" w:line="276" w:lineRule="auto"/>
        <w:jc w:val="center"/>
        <w:rPr>
          <w:rFonts w:cs="Arial"/>
          <w:sz w:val="22"/>
          <w:szCs w:val="22"/>
        </w:rPr>
      </w:pPr>
    </w:p>
    <w:p w14:paraId="61CEBE25" w14:textId="77777777" w:rsidR="002B1F93" w:rsidRDefault="002B1F93" w:rsidP="00475437">
      <w:pPr>
        <w:spacing w:after="200" w:line="276" w:lineRule="auto"/>
        <w:rPr>
          <w:rFonts w:cs="Arial"/>
          <w:sz w:val="22"/>
          <w:szCs w:val="22"/>
          <w:u w:val="single"/>
        </w:rPr>
      </w:pPr>
    </w:p>
    <w:p w14:paraId="641C98EA" w14:textId="036F59A5" w:rsidR="00731730" w:rsidRPr="00475437" w:rsidRDefault="001039C1" w:rsidP="00475437">
      <w:pPr>
        <w:spacing w:after="200" w:line="276" w:lineRule="auto"/>
        <w:rPr>
          <w:rFonts w:cs="Arial"/>
          <w:sz w:val="22"/>
          <w:szCs w:val="22"/>
          <w:u w:val="single"/>
        </w:rPr>
      </w:pPr>
      <w:r>
        <w:rPr>
          <w:rFonts w:cs="Arial"/>
          <w:sz w:val="22"/>
          <w:szCs w:val="22"/>
          <w:u w:val="single"/>
        </w:rPr>
        <w:t xml:space="preserve">Figure 16 </w:t>
      </w:r>
      <w:r w:rsidR="00475437">
        <w:rPr>
          <w:rFonts w:cs="Arial"/>
          <w:sz w:val="22"/>
          <w:szCs w:val="22"/>
          <w:u w:val="single"/>
        </w:rPr>
        <w:t>High level summary – Inpatient 2022 benchmarking report</w:t>
      </w:r>
    </w:p>
    <w:p w14:paraId="1616C91F" w14:textId="43F61A03" w:rsidR="00731730" w:rsidRPr="00386EA6" w:rsidRDefault="00475437" w:rsidP="00DF6CA0">
      <w:pPr>
        <w:spacing w:after="200" w:line="276" w:lineRule="auto"/>
        <w:jc w:val="center"/>
        <w:rPr>
          <w:rFonts w:cs="Arial"/>
          <w:sz w:val="22"/>
          <w:szCs w:val="22"/>
          <w:u w:val="single"/>
        </w:rPr>
      </w:pPr>
      <w:r>
        <w:rPr>
          <w:noProof/>
          <w:lang w:eastAsia="en-GB"/>
        </w:rPr>
        <w:drawing>
          <wp:inline distT="0" distB="0" distL="0" distR="0" wp14:anchorId="35B30D03" wp14:editId="2452D77E">
            <wp:extent cx="5422605" cy="2984070"/>
            <wp:effectExtent l="0" t="0" r="6985"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027" t="25336" r="17304" b="7953"/>
                    <a:stretch/>
                  </pic:blipFill>
                  <pic:spPr bwMode="auto">
                    <a:xfrm>
                      <a:off x="0" y="0"/>
                      <a:ext cx="5441703" cy="2994580"/>
                    </a:xfrm>
                    <a:prstGeom prst="rect">
                      <a:avLst/>
                    </a:prstGeom>
                    <a:ln>
                      <a:noFill/>
                    </a:ln>
                    <a:extLst>
                      <a:ext uri="{53640926-AAD7-44D8-BBD7-CCE9431645EC}">
                        <a14:shadowObscured xmlns:a14="http://schemas.microsoft.com/office/drawing/2010/main"/>
                      </a:ext>
                    </a:extLst>
                  </pic:spPr>
                </pic:pic>
              </a:graphicData>
            </a:graphic>
          </wp:inline>
        </w:drawing>
      </w:r>
    </w:p>
    <w:p w14:paraId="3E691077" w14:textId="0773853F" w:rsidR="00731730" w:rsidRPr="00475437" w:rsidRDefault="001039C1" w:rsidP="00731730">
      <w:pPr>
        <w:spacing w:after="200" w:line="276" w:lineRule="auto"/>
        <w:rPr>
          <w:rFonts w:cs="Arial"/>
          <w:sz w:val="22"/>
          <w:szCs w:val="22"/>
          <w:u w:val="single"/>
        </w:rPr>
      </w:pPr>
      <w:r>
        <w:rPr>
          <w:rFonts w:cs="Arial"/>
          <w:sz w:val="22"/>
          <w:szCs w:val="22"/>
          <w:u w:val="single"/>
        </w:rPr>
        <w:t xml:space="preserve">Figure 17 </w:t>
      </w:r>
      <w:r w:rsidR="00475437">
        <w:rPr>
          <w:rFonts w:cs="Arial"/>
          <w:sz w:val="22"/>
          <w:szCs w:val="22"/>
          <w:u w:val="single"/>
        </w:rPr>
        <w:t>High level summary – Maternity 2023 benchmarking report</w:t>
      </w:r>
    </w:p>
    <w:p w14:paraId="16173805" w14:textId="4B945462" w:rsidR="001A633A" w:rsidRDefault="00475437" w:rsidP="00DF6CA0">
      <w:pPr>
        <w:spacing w:after="200" w:line="276" w:lineRule="auto"/>
        <w:jc w:val="center"/>
        <w:rPr>
          <w:rFonts w:cs="Arial"/>
          <w:sz w:val="22"/>
          <w:szCs w:val="22"/>
        </w:rPr>
      </w:pPr>
      <w:r>
        <w:rPr>
          <w:noProof/>
          <w:lang w:eastAsia="en-GB"/>
        </w:rPr>
        <w:lastRenderedPageBreak/>
        <w:drawing>
          <wp:inline distT="0" distB="0" distL="0" distR="0" wp14:anchorId="14761BAE" wp14:editId="5E41B867">
            <wp:extent cx="5050465" cy="284760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852" t="17639" r="17809" b="14353"/>
                    <a:stretch/>
                  </pic:blipFill>
                  <pic:spPr bwMode="auto">
                    <a:xfrm>
                      <a:off x="0" y="0"/>
                      <a:ext cx="5062354" cy="2854306"/>
                    </a:xfrm>
                    <a:prstGeom prst="rect">
                      <a:avLst/>
                    </a:prstGeom>
                    <a:ln>
                      <a:noFill/>
                    </a:ln>
                    <a:extLst>
                      <a:ext uri="{53640926-AAD7-44D8-BBD7-CCE9431645EC}">
                        <a14:shadowObscured xmlns:a14="http://schemas.microsoft.com/office/drawing/2010/main"/>
                      </a:ext>
                    </a:extLst>
                  </pic:spPr>
                </pic:pic>
              </a:graphicData>
            </a:graphic>
          </wp:inline>
        </w:drawing>
      </w:r>
    </w:p>
    <w:p w14:paraId="0739EDAA" w14:textId="47207B25" w:rsidR="00475437" w:rsidRDefault="00475437" w:rsidP="004B328D">
      <w:pPr>
        <w:spacing w:after="200"/>
        <w:jc w:val="both"/>
        <w:rPr>
          <w:rFonts w:cs="Arial"/>
          <w:sz w:val="22"/>
          <w:szCs w:val="22"/>
        </w:rPr>
      </w:pPr>
      <w:r>
        <w:rPr>
          <w:rFonts w:cs="Arial"/>
          <w:sz w:val="22"/>
          <w:szCs w:val="22"/>
        </w:rPr>
        <w:t>The patient experience team plays a pivotal role in divisions and services understanding the findings from the national surveys. Activities include:</w:t>
      </w:r>
    </w:p>
    <w:p w14:paraId="5D803999" w14:textId="59615152" w:rsidR="00475437" w:rsidRPr="00475437" w:rsidRDefault="00475437" w:rsidP="004B328D">
      <w:pPr>
        <w:pStyle w:val="ListParagraph"/>
        <w:numPr>
          <w:ilvl w:val="0"/>
          <w:numId w:val="5"/>
        </w:numPr>
        <w:spacing w:after="200"/>
        <w:jc w:val="both"/>
        <w:rPr>
          <w:rFonts w:cs="Arial"/>
          <w:sz w:val="22"/>
          <w:szCs w:val="22"/>
        </w:rPr>
      </w:pPr>
      <w:r>
        <w:rPr>
          <w:rFonts w:cs="Arial"/>
          <w:sz w:val="22"/>
          <w:szCs w:val="22"/>
        </w:rPr>
        <w:t>Full interrogation of trust level results including site comparisons</w:t>
      </w:r>
    </w:p>
    <w:p w14:paraId="021F48C6" w14:textId="08E8C85D" w:rsidR="00475437" w:rsidRDefault="00475437" w:rsidP="004B328D">
      <w:pPr>
        <w:pStyle w:val="ListParagraph"/>
        <w:numPr>
          <w:ilvl w:val="0"/>
          <w:numId w:val="5"/>
        </w:numPr>
        <w:spacing w:after="200"/>
        <w:jc w:val="both"/>
        <w:rPr>
          <w:rFonts w:cs="Arial"/>
          <w:sz w:val="22"/>
          <w:szCs w:val="22"/>
        </w:rPr>
      </w:pPr>
      <w:r>
        <w:rPr>
          <w:rFonts w:cs="Arial"/>
          <w:sz w:val="22"/>
          <w:szCs w:val="22"/>
        </w:rPr>
        <w:t>Full interrogation and manual benchmarking with previous year’s results to see data trends and other benchmarking against London / NWL trusts</w:t>
      </w:r>
    </w:p>
    <w:p w14:paraId="655B4FD4" w14:textId="54418F7B" w:rsidR="00475437" w:rsidRDefault="00475437" w:rsidP="004B328D">
      <w:pPr>
        <w:pStyle w:val="ListParagraph"/>
        <w:numPr>
          <w:ilvl w:val="0"/>
          <w:numId w:val="5"/>
        </w:numPr>
        <w:spacing w:after="200"/>
        <w:jc w:val="both"/>
        <w:rPr>
          <w:rFonts w:cs="Arial"/>
          <w:sz w:val="22"/>
          <w:szCs w:val="22"/>
        </w:rPr>
      </w:pPr>
      <w:r>
        <w:rPr>
          <w:rFonts w:cs="Arial"/>
          <w:sz w:val="22"/>
          <w:szCs w:val="22"/>
        </w:rPr>
        <w:t>Triangulation of other patient feedback data to support key areas of focus</w:t>
      </w:r>
    </w:p>
    <w:p w14:paraId="722A4530" w14:textId="0D478FDA" w:rsidR="00475437" w:rsidRDefault="00475437" w:rsidP="004B328D">
      <w:pPr>
        <w:pStyle w:val="ListParagraph"/>
        <w:numPr>
          <w:ilvl w:val="0"/>
          <w:numId w:val="5"/>
        </w:numPr>
        <w:spacing w:after="200"/>
        <w:jc w:val="both"/>
        <w:rPr>
          <w:rFonts w:cs="Arial"/>
          <w:sz w:val="22"/>
          <w:szCs w:val="22"/>
        </w:rPr>
      </w:pPr>
      <w:r>
        <w:rPr>
          <w:rFonts w:cs="Arial"/>
          <w:sz w:val="22"/>
          <w:szCs w:val="22"/>
        </w:rPr>
        <w:t>Drafting board reports</w:t>
      </w:r>
    </w:p>
    <w:p w14:paraId="0D6666BB" w14:textId="2F92AF45" w:rsidR="00475437" w:rsidRDefault="00475437" w:rsidP="004B328D">
      <w:pPr>
        <w:pStyle w:val="ListParagraph"/>
        <w:numPr>
          <w:ilvl w:val="0"/>
          <w:numId w:val="5"/>
        </w:numPr>
        <w:spacing w:after="200"/>
        <w:jc w:val="both"/>
        <w:rPr>
          <w:rFonts w:cs="Arial"/>
          <w:sz w:val="22"/>
          <w:szCs w:val="22"/>
        </w:rPr>
      </w:pPr>
      <w:r>
        <w:rPr>
          <w:rFonts w:cs="Arial"/>
          <w:sz w:val="22"/>
          <w:szCs w:val="22"/>
        </w:rPr>
        <w:t>Support with monitoring impact of the action plans</w:t>
      </w:r>
    </w:p>
    <w:p w14:paraId="295AC6FB" w14:textId="468DA723" w:rsidR="00794443" w:rsidRDefault="00794443" w:rsidP="004B328D">
      <w:pPr>
        <w:spacing w:after="200"/>
        <w:jc w:val="both"/>
        <w:rPr>
          <w:rFonts w:cs="Arial"/>
          <w:sz w:val="22"/>
          <w:szCs w:val="22"/>
        </w:rPr>
      </w:pPr>
      <w:r>
        <w:rPr>
          <w:rFonts w:cs="Arial"/>
          <w:sz w:val="22"/>
          <w:szCs w:val="22"/>
        </w:rPr>
        <w:t>For the 2024-25 year, the following survey activities are being undertaken:</w:t>
      </w:r>
    </w:p>
    <w:p w14:paraId="4351BFE2" w14:textId="4B4D1070" w:rsidR="00794443" w:rsidRDefault="00794443" w:rsidP="004B328D">
      <w:pPr>
        <w:pStyle w:val="ListParagraph"/>
        <w:numPr>
          <w:ilvl w:val="0"/>
          <w:numId w:val="5"/>
        </w:numPr>
        <w:spacing w:after="200"/>
        <w:jc w:val="both"/>
        <w:rPr>
          <w:rFonts w:cs="Arial"/>
          <w:sz w:val="22"/>
          <w:szCs w:val="22"/>
        </w:rPr>
      </w:pPr>
      <w:r>
        <w:rPr>
          <w:rFonts w:cs="Arial"/>
          <w:sz w:val="22"/>
          <w:szCs w:val="22"/>
        </w:rPr>
        <w:t>UEC 2024 survey. Patients who attended A&amp;E during January and February 2024 could be randomly selected to take part in the survey. It is expected that survey fieldwork will be undertaken between May – June, and results made available to trusts in August 2024</w:t>
      </w:r>
    </w:p>
    <w:p w14:paraId="667C6F4D" w14:textId="3052E1D4" w:rsidR="00794443" w:rsidRPr="00794443" w:rsidRDefault="00794443" w:rsidP="004B328D">
      <w:pPr>
        <w:pStyle w:val="ListParagraph"/>
        <w:numPr>
          <w:ilvl w:val="0"/>
          <w:numId w:val="5"/>
        </w:numPr>
        <w:spacing w:after="200"/>
        <w:jc w:val="both"/>
        <w:rPr>
          <w:rFonts w:cs="Arial"/>
          <w:sz w:val="22"/>
          <w:szCs w:val="22"/>
        </w:rPr>
      </w:pPr>
      <w:r>
        <w:rPr>
          <w:rFonts w:cs="Arial"/>
          <w:sz w:val="22"/>
          <w:szCs w:val="22"/>
        </w:rPr>
        <w:t>Maternity 2024 survey. Women who gave birth in January and February 2024 could be randomly selected to take part in the survey. It is expected that survey fieldwork will be undertaken between May – June, and results made available to trusts in August 2024</w:t>
      </w:r>
    </w:p>
    <w:p w14:paraId="0ED71466" w14:textId="65058B75" w:rsidR="00475437" w:rsidRDefault="00475437" w:rsidP="004B328D">
      <w:pPr>
        <w:spacing w:after="200"/>
        <w:jc w:val="both"/>
        <w:rPr>
          <w:rFonts w:cs="Arial"/>
          <w:sz w:val="22"/>
          <w:szCs w:val="22"/>
        </w:rPr>
      </w:pPr>
      <w:r>
        <w:rPr>
          <w:rFonts w:cs="Arial"/>
          <w:sz w:val="22"/>
          <w:szCs w:val="22"/>
        </w:rPr>
        <w:t>As detailed in the FFT section of this report, a selection of questions from these national surveys will be included in FFT surveys going forward for the year 24-25, to allow for deeper patient experience insights and assurance that improvement work is effective.</w:t>
      </w:r>
    </w:p>
    <w:p w14:paraId="20C3ED1C" w14:textId="6AC491B4" w:rsidR="00133727" w:rsidRDefault="00133727" w:rsidP="004B328D">
      <w:pPr>
        <w:spacing w:after="200"/>
        <w:jc w:val="both"/>
        <w:rPr>
          <w:rFonts w:cs="Arial"/>
          <w:sz w:val="22"/>
          <w:szCs w:val="22"/>
        </w:rPr>
      </w:pPr>
      <w:r>
        <w:rPr>
          <w:rFonts w:cs="Arial"/>
          <w:sz w:val="22"/>
          <w:szCs w:val="22"/>
        </w:rPr>
        <w:t>There have been a number of improvements introduced following the national survey results and which have been referenced throughout this report. These include improvements to the waiting environment in our A&amp;E departments, noise at night projects and improving access to entertainment on wards, extending antenatal appointments, review and revising the induction patient information and a kindness campaign with postnatal areas.</w:t>
      </w:r>
    </w:p>
    <w:p w14:paraId="12168866" w14:textId="77777777" w:rsidR="00133727" w:rsidRDefault="00133727">
      <w:pPr>
        <w:spacing w:after="200" w:line="276" w:lineRule="auto"/>
        <w:rPr>
          <w:rFonts w:cs="Arial"/>
          <w:sz w:val="22"/>
          <w:szCs w:val="22"/>
        </w:rPr>
      </w:pPr>
      <w:r>
        <w:rPr>
          <w:rFonts w:cs="Arial"/>
          <w:sz w:val="22"/>
          <w:szCs w:val="22"/>
        </w:rPr>
        <w:br w:type="page"/>
      </w:r>
    </w:p>
    <w:p w14:paraId="1680EB03" w14:textId="77777777" w:rsidR="00133727" w:rsidRPr="00475437" w:rsidRDefault="00133727" w:rsidP="004B328D">
      <w:pPr>
        <w:spacing w:after="200"/>
        <w:jc w:val="both"/>
        <w:rPr>
          <w:rFonts w:cs="Arial"/>
          <w:sz w:val="22"/>
          <w:szCs w:val="22"/>
        </w:rPr>
      </w:pPr>
    </w:p>
    <w:tbl>
      <w:tblPr>
        <w:tblpPr w:leftFromText="180" w:rightFromText="180" w:vertAnchor="text" w:horzAnchor="page" w:tblpX="586" w:tblpY="681"/>
        <w:tblOverlap w:val="never"/>
        <w:tblW w:w="3364" w:type="dxa"/>
        <w:tblLook w:val="04A0" w:firstRow="1" w:lastRow="0" w:firstColumn="1" w:lastColumn="0" w:noHBand="0" w:noVBand="1"/>
      </w:tblPr>
      <w:tblGrid>
        <w:gridCol w:w="1746"/>
        <w:gridCol w:w="772"/>
        <w:gridCol w:w="846"/>
      </w:tblGrid>
      <w:tr w:rsidR="0004147E" w:rsidRPr="0004147E" w14:paraId="3BABB934" w14:textId="77777777" w:rsidTr="0004147E">
        <w:trPr>
          <w:trHeight w:val="257"/>
        </w:trPr>
        <w:tc>
          <w:tcPr>
            <w:tcW w:w="1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200A2" w14:textId="77777777" w:rsidR="0004147E" w:rsidRPr="0004147E" w:rsidRDefault="0004147E" w:rsidP="0004147E">
            <w:pPr>
              <w:spacing w:after="0"/>
              <w:jc w:val="center"/>
              <w:rPr>
                <w:rFonts w:ascii="Calibri" w:eastAsia="Times New Roman" w:hAnsi="Calibri" w:cs="Calibri"/>
                <w:b/>
                <w:bCs/>
                <w:color w:val="000000"/>
                <w:sz w:val="16"/>
                <w:szCs w:val="16"/>
                <w:lang w:eastAsia="en-GB"/>
              </w:rPr>
            </w:pPr>
            <w:r w:rsidRPr="0004147E">
              <w:rPr>
                <w:rFonts w:ascii="Calibri" w:eastAsia="Times New Roman" w:hAnsi="Calibri" w:cs="Calibri"/>
                <w:b/>
                <w:bCs/>
                <w:color w:val="000000"/>
                <w:sz w:val="16"/>
                <w:szCs w:val="16"/>
                <w:lang w:eastAsia="en-GB"/>
              </w:rPr>
              <w:t xml:space="preserve">Care Opinion </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4B6EF8E8" w14:textId="77777777" w:rsidR="0004147E" w:rsidRPr="0004147E" w:rsidRDefault="0004147E" w:rsidP="0004147E">
            <w:pPr>
              <w:spacing w:after="0"/>
              <w:jc w:val="center"/>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Positive</w:t>
            </w:r>
          </w:p>
        </w:tc>
        <w:tc>
          <w:tcPr>
            <w:tcW w:w="846" w:type="dxa"/>
            <w:tcBorders>
              <w:top w:val="single" w:sz="4" w:space="0" w:color="auto"/>
              <w:left w:val="nil"/>
              <w:bottom w:val="single" w:sz="4" w:space="0" w:color="auto"/>
              <w:right w:val="single" w:sz="4" w:space="0" w:color="auto"/>
            </w:tcBorders>
            <w:shd w:val="clear" w:color="000000" w:fill="FFFFFF"/>
            <w:noWrap/>
            <w:vAlign w:val="bottom"/>
            <w:hideMark/>
          </w:tcPr>
          <w:p w14:paraId="7B4FB3A5" w14:textId="77777777" w:rsidR="0004147E" w:rsidRPr="0004147E" w:rsidRDefault="0004147E" w:rsidP="0004147E">
            <w:pPr>
              <w:spacing w:after="0"/>
              <w:jc w:val="center"/>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Negative</w:t>
            </w:r>
          </w:p>
        </w:tc>
      </w:tr>
      <w:tr w:rsidR="0004147E" w:rsidRPr="0004147E" w14:paraId="661603FE" w14:textId="77777777" w:rsidTr="0004147E">
        <w:trPr>
          <w:trHeight w:val="257"/>
        </w:trPr>
        <w:tc>
          <w:tcPr>
            <w:tcW w:w="1746" w:type="dxa"/>
            <w:tcBorders>
              <w:top w:val="nil"/>
              <w:left w:val="single" w:sz="4" w:space="0" w:color="auto"/>
              <w:bottom w:val="single" w:sz="4" w:space="0" w:color="auto"/>
              <w:right w:val="single" w:sz="4" w:space="0" w:color="auto"/>
            </w:tcBorders>
            <w:shd w:val="clear" w:color="000000" w:fill="FFFFFF"/>
            <w:noWrap/>
            <w:vAlign w:val="bottom"/>
            <w:hideMark/>
          </w:tcPr>
          <w:p w14:paraId="45ECC7E6" w14:textId="77777777" w:rsidR="0004147E" w:rsidRPr="0004147E" w:rsidRDefault="0004147E" w:rsidP="0004147E">
            <w:pPr>
              <w:spacing w:after="0"/>
              <w:jc w:val="center"/>
              <w:rPr>
                <w:rFonts w:ascii="Calibri" w:eastAsia="Times New Roman" w:hAnsi="Calibri" w:cs="Calibri"/>
                <w:b/>
                <w:bCs/>
                <w:color w:val="000000"/>
                <w:sz w:val="16"/>
                <w:szCs w:val="16"/>
                <w:lang w:eastAsia="en-GB"/>
              </w:rPr>
            </w:pPr>
            <w:r w:rsidRPr="0004147E">
              <w:rPr>
                <w:rFonts w:ascii="Calibri" w:eastAsia="Times New Roman" w:hAnsi="Calibri" w:cs="Calibri"/>
                <w:b/>
                <w:bCs/>
                <w:color w:val="000000"/>
                <w:sz w:val="16"/>
                <w:szCs w:val="16"/>
                <w:lang w:eastAsia="en-GB"/>
              </w:rPr>
              <w:t>Access to treatment</w:t>
            </w:r>
          </w:p>
        </w:tc>
        <w:tc>
          <w:tcPr>
            <w:tcW w:w="772" w:type="dxa"/>
            <w:tcBorders>
              <w:top w:val="nil"/>
              <w:left w:val="nil"/>
              <w:bottom w:val="single" w:sz="4" w:space="0" w:color="auto"/>
              <w:right w:val="single" w:sz="4" w:space="0" w:color="auto"/>
            </w:tcBorders>
            <w:shd w:val="clear" w:color="000000" w:fill="FFC000"/>
            <w:noWrap/>
            <w:vAlign w:val="bottom"/>
            <w:hideMark/>
          </w:tcPr>
          <w:p w14:paraId="27BD8B63"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50%</w:t>
            </w:r>
          </w:p>
        </w:tc>
        <w:tc>
          <w:tcPr>
            <w:tcW w:w="846" w:type="dxa"/>
            <w:tcBorders>
              <w:top w:val="nil"/>
              <w:left w:val="nil"/>
              <w:bottom w:val="single" w:sz="4" w:space="0" w:color="auto"/>
              <w:right w:val="single" w:sz="4" w:space="0" w:color="auto"/>
            </w:tcBorders>
            <w:shd w:val="clear" w:color="000000" w:fill="FFC000"/>
            <w:noWrap/>
            <w:vAlign w:val="bottom"/>
            <w:hideMark/>
          </w:tcPr>
          <w:p w14:paraId="2D991DB9"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50%</w:t>
            </w:r>
          </w:p>
        </w:tc>
      </w:tr>
      <w:tr w:rsidR="0004147E" w:rsidRPr="0004147E" w14:paraId="357BFB0C" w14:textId="77777777" w:rsidTr="0004147E">
        <w:trPr>
          <w:trHeight w:val="257"/>
        </w:trPr>
        <w:tc>
          <w:tcPr>
            <w:tcW w:w="1746" w:type="dxa"/>
            <w:tcBorders>
              <w:top w:val="nil"/>
              <w:left w:val="single" w:sz="4" w:space="0" w:color="auto"/>
              <w:bottom w:val="single" w:sz="4" w:space="0" w:color="auto"/>
              <w:right w:val="single" w:sz="4" w:space="0" w:color="auto"/>
            </w:tcBorders>
            <w:shd w:val="clear" w:color="000000" w:fill="FFFFFF"/>
            <w:noWrap/>
            <w:vAlign w:val="bottom"/>
            <w:hideMark/>
          </w:tcPr>
          <w:p w14:paraId="75A4138B" w14:textId="77777777" w:rsidR="0004147E" w:rsidRPr="0004147E" w:rsidRDefault="0004147E" w:rsidP="0004147E">
            <w:pPr>
              <w:spacing w:after="0"/>
              <w:jc w:val="center"/>
              <w:rPr>
                <w:rFonts w:ascii="Calibri" w:eastAsia="Times New Roman" w:hAnsi="Calibri" w:cs="Calibri"/>
                <w:b/>
                <w:bCs/>
                <w:color w:val="000000"/>
                <w:sz w:val="16"/>
                <w:szCs w:val="16"/>
                <w:lang w:eastAsia="en-GB"/>
              </w:rPr>
            </w:pPr>
            <w:r w:rsidRPr="0004147E">
              <w:rPr>
                <w:rFonts w:ascii="Calibri" w:eastAsia="Times New Roman" w:hAnsi="Calibri" w:cs="Calibri"/>
                <w:b/>
                <w:bCs/>
                <w:color w:val="000000"/>
                <w:sz w:val="16"/>
                <w:szCs w:val="16"/>
                <w:lang w:eastAsia="en-GB"/>
              </w:rPr>
              <w:t>Appointments</w:t>
            </w:r>
          </w:p>
        </w:tc>
        <w:tc>
          <w:tcPr>
            <w:tcW w:w="772" w:type="dxa"/>
            <w:tcBorders>
              <w:top w:val="nil"/>
              <w:left w:val="nil"/>
              <w:bottom w:val="single" w:sz="4" w:space="0" w:color="auto"/>
              <w:right w:val="single" w:sz="4" w:space="0" w:color="auto"/>
            </w:tcBorders>
            <w:shd w:val="clear" w:color="000000" w:fill="FF0000"/>
            <w:noWrap/>
            <w:vAlign w:val="bottom"/>
            <w:hideMark/>
          </w:tcPr>
          <w:p w14:paraId="328EA765"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18%</w:t>
            </w:r>
          </w:p>
        </w:tc>
        <w:tc>
          <w:tcPr>
            <w:tcW w:w="846" w:type="dxa"/>
            <w:tcBorders>
              <w:top w:val="nil"/>
              <w:left w:val="nil"/>
              <w:bottom w:val="single" w:sz="4" w:space="0" w:color="auto"/>
              <w:right w:val="single" w:sz="4" w:space="0" w:color="auto"/>
            </w:tcBorders>
            <w:shd w:val="clear" w:color="000000" w:fill="FF0000"/>
            <w:noWrap/>
            <w:vAlign w:val="bottom"/>
            <w:hideMark/>
          </w:tcPr>
          <w:p w14:paraId="25B896C0"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82%</w:t>
            </w:r>
          </w:p>
        </w:tc>
      </w:tr>
      <w:tr w:rsidR="0004147E" w:rsidRPr="0004147E" w14:paraId="714C62DE" w14:textId="77777777" w:rsidTr="0004147E">
        <w:trPr>
          <w:trHeight w:val="257"/>
        </w:trPr>
        <w:tc>
          <w:tcPr>
            <w:tcW w:w="1746" w:type="dxa"/>
            <w:tcBorders>
              <w:top w:val="nil"/>
              <w:left w:val="single" w:sz="4" w:space="0" w:color="auto"/>
              <w:bottom w:val="single" w:sz="4" w:space="0" w:color="auto"/>
              <w:right w:val="single" w:sz="4" w:space="0" w:color="auto"/>
            </w:tcBorders>
            <w:shd w:val="clear" w:color="000000" w:fill="FFFFFF"/>
            <w:noWrap/>
            <w:vAlign w:val="bottom"/>
            <w:hideMark/>
          </w:tcPr>
          <w:p w14:paraId="705AD725" w14:textId="77777777" w:rsidR="0004147E" w:rsidRPr="0004147E" w:rsidRDefault="0004147E" w:rsidP="0004147E">
            <w:pPr>
              <w:spacing w:after="0"/>
              <w:jc w:val="center"/>
              <w:rPr>
                <w:rFonts w:ascii="Calibri" w:eastAsia="Times New Roman" w:hAnsi="Calibri" w:cs="Calibri"/>
                <w:b/>
                <w:bCs/>
                <w:color w:val="000000"/>
                <w:sz w:val="16"/>
                <w:szCs w:val="16"/>
                <w:lang w:eastAsia="en-GB"/>
              </w:rPr>
            </w:pPr>
            <w:r w:rsidRPr="0004147E">
              <w:rPr>
                <w:rFonts w:ascii="Calibri" w:eastAsia="Times New Roman" w:hAnsi="Calibri" w:cs="Calibri"/>
                <w:b/>
                <w:bCs/>
                <w:color w:val="000000"/>
                <w:sz w:val="16"/>
                <w:szCs w:val="16"/>
                <w:lang w:eastAsia="en-GB"/>
              </w:rPr>
              <w:t>Clinical treatment</w:t>
            </w:r>
          </w:p>
        </w:tc>
        <w:tc>
          <w:tcPr>
            <w:tcW w:w="772" w:type="dxa"/>
            <w:tcBorders>
              <w:top w:val="nil"/>
              <w:left w:val="nil"/>
              <w:bottom w:val="single" w:sz="4" w:space="0" w:color="auto"/>
              <w:right w:val="single" w:sz="4" w:space="0" w:color="auto"/>
            </w:tcBorders>
            <w:shd w:val="clear" w:color="000000" w:fill="FFC000"/>
            <w:noWrap/>
            <w:vAlign w:val="bottom"/>
            <w:hideMark/>
          </w:tcPr>
          <w:p w14:paraId="67FC93D6"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74%</w:t>
            </w:r>
          </w:p>
        </w:tc>
        <w:tc>
          <w:tcPr>
            <w:tcW w:w="846" w:type="dxa"/>
            <w:tcBorders>
              <w:top w:val="nil"/>
              <w:left w:val="nil"/>
              <w:bottom w:val="single" w:sz="4" w:space="0" w:color="auto"/>
              <w:right w:val="single" w:sz="4" w:space="0" w:color="auto"/>
            </w:tcBorders>
            <w:shd w:val="clear" w:color="000000" w:fill="FFC000"/>
            <w:noWrap/>
            <w:vAlign w:val="bottom"/>
            <w:hideMark/>
          </w:tcPr>
          <w:p w14:paraId="5FC05A13"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36%</w:t>
            </w:r>
          </w:p>
        </w:tc>
      </w:tr>
      <w:tr w:rsidR="0004147E" w:rsidRPr="0004147E" w14:paraId="6B8C617A" w14:textId="77777777" w:rsidTr="0004147E">
        <w:trPr>
          <w:trHeight w:val="257"/>
        </w:trPr>
        <w:tc>
          <w:tcPr>
            <w:tcW w:w="1746" w:type="dxa"/>
            <w:tcBorders>
              <w:top w:val="nil"/>
              <w:left w:val="single" w:sz="4" w:space="0" w:color="auto"/>
              <w:bottom w:val="single" w:sz="4" w:space="0" w:color="auto"/>
              <w:right w:val="single" w:sz="4" w:space="0" w:color="auto"/>
            </w:tcBorders>
            <w:shd w:val="clear" w:color="000000" w:fill="FFFFFF"/>
            <w:noWrap/>
            <w:vAlign w:val="bottom"/>
            <w:hideMark/>
          </w:tcPr>
          <w:p w14:paraId="1A79C1EE" w14:textId="77777777" w:rsidR="0004147E" w:rsidRPr="0004147E" w:rsidRDefault="0004147E" w:rsidP="0004147E">
            <w:pPr>
              <w:spacing w:after="0"/>
              <w:jc w:val="center"/>
              <w:rPr>
                <w:rFonts w:ascii="Calibri" w:eastAsia="Times New Roman" w:hAnsi="Calibri" w:cs="Calibri"/>
                <w:b/>
                <w:bCs/>
                <w:color w:val="000000"/>
                <w:sz w:val="16"/>
                <w:szCs w:val="16"/>
                <w:lang w:eastAsia="en-GB"/>
              </w:rPr>
            </w:pPr>
            <w:r w:rsidRPr="0004147E">
              <w:rPr>
                <w:rFonts w:ascii="Calibri" w:eastAsia="Times New Roman" w:hAnsi="Calibri" w:cs="Calibri"/>
                <w:b/>
                <w:bCs/>
                <w:color w:val="000000"/>
                <w:sz w:val="16"/>
                <w:szCs w:val="16"/>
                <w:lang w:eastAsia="en-GB"/>
              </w:rPr>
              <w:t>Communication</w:t>
            </w:r>
          </w:p>
        </w:tc>
        <w:tc>
          <w:tcPr>
            <w:tcW w:w="772" w:type="dxa"/>
            <w:tcBorders>
              <w:top w:val="nil"/>
              <w:left w:val="nil"/>
              <w:bottom w:val="single" w:sz="4" w:space="0" w:color="auto"/>
              <w:right w:val="single" w:sz="4" w:space="0" w:color="auto"/>
            </w:tcBorders>
            <w:shd w:val="clear" w:color="000000" w:fill="FFC000"/>
            <w:noWrap/>
            <w:vAlign w:val="bottom"/>
            <w:hideMark/>
          </w:tcPr>
          <w:p w14:paraId="4C1194DD"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43%</w:t>
            </w:r>
          </w:p>
        </w:tc>
        <w:tc>
          <w:tcPr>
            <w:tcW w:w="846" w:type="dxa"/>
            <w:tcBorders>
              <w:top w:val="nil"/>
              <w:left w:val="nil"/>
              <w:bottom w:val="single" w:sz="4" w:space="0" w:color="auto"/>
              <w:right w:val="single" w:sz="4" w:space="0" w:color="auto"/>
            </w:tcBorders>
            <w:shd w:val="clear" w:color="000000" w:fill="FFC000"/>
            <w:noWrap/>
            <w:vAlign w:val="bottom"/>
            <w:hideMark/>
          </w:tcPr>
          <w:p w14:paraId="5988AE1D"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57%</w:t>
            </w:r>
          </w:p>
        </w:tc>
      </w:tr>
      <w:tr w:rsidR="0004147E" w:rsidRPr="0004147E" w14:paraId="22B392E9" w14:textId="77777777" w:rsidTr="0004147E">
        <w:trPr>
          <w:trHeight w:val="257"/>
        </w:trPr>
        <w:tc>
          <w:tcPr>
            <w:tcW w:w="1746" w:type="dxa"/>
            <w:tcBorders>
              <w:top w:val="nil"/>
              <w:left w:val="single" w:sz="4" w:space="0" w:color="auto"/>
              <w:bottom w:val="single" w:sz="4" w:space="0" w:color="auto"/>
              <w:right w:val="single" w:sz="4" w:space="0" w:color="auto"/>
            </w:tcBorders>
            <w:shd w:val="clear" w:color="000000" w:fill="FFFFFF"/>
            <w:noWrap/>
            <w:vAlign w:val="bottom"/>
            <w:hideMark/>
          </w:tcPr>
          <w:p w14:paraId="03848873" w14:textId="77777777" w:rsidR="0004147E" w:rsidRPr="0004147E" w:rsidRDefault="0004147E" w:rsidP="0004147E">
            <w:pPr>
              <w:spacing w:after="0"/>
              <w:jc w:val="center"/>
              <w:rPr>
                <w:rFonts w:ascii="Calibri" w:eastAsia="Times New Roman" w:hAnsi="Calibri" w:cs="Calibri"/>
                <w:b/>
                <w:bCs/>
                <w:color w:val="000000"/>
                <w:sz w:val="16"/>
                <w:szCs w:val="16"/>
                <w:lang w:eastAsia="en-GB"/>
              </w:rPr>
            </w:pPr>
            <w:r w:rsidRPr="0004147E">
              <w:rPr>
                <w:rFonts w:ascii="Calibri" w:eastAsia="Times New Roman" w:hAnsi="Calibri" w:cs="Calibri"/>
                <w:b/>
                <w:bCs/>
                <w:color w:val="000000"/>
                <w:sz w:val="16"/>
                <w:szCs w:val="16"/>
                <w:lang w:eastAsia="en-GB"/>
              </w:rPr>
              <w:t>Privacy and dignity</w:t>
            </w:r>
          </w:p>
        </w:tc>
        <w:tc>
          <w:tcPr>
            <w:tcW w:w="772" w:type="dxa"/>
            <w:tcBorders>
              <w:top w:val="nil"/>
              <w:left w:val="nil"/>
              <w:bottom w:val="single" w:sz="4" w:space="0" w:color="auto"/>
              <w:right w:val="single" w:sz="4" w:space="0" w:color="auto"/>
            </w:tcBorders>
            <w:shd w:val="clear" w:color="000000" w:fill="FFF2CC"/>
            <w:noWrap/>
            <w:vAlign w:val="bottom"/>
            <w:hideMark/>
          </w:tcPr>
          <w:p w14:paraId="0E735276"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0%</w:t>
            </w:r>
          </w:p>
        </w:tc>
        <w:tc>
          <w:tcPr>
            <w:tcW w:w="846" w:type="dxa"/>
            <w:tcBorders>
              <w:top w:val="nil"/>
              <w:left w:val="nil"/>
              <w:bottom w:val="single" w:sz="4" w:space="0" w:color="auto"/>
              <w:right w:val="single" w:sz="4" w:space="0" w:color="auto"/>
            </w:tcBorders>
            <w:shd w:val="clear" w:color="000000" w:fill="FF0000"/>
            <w:noWrap/>
            <w:vAlign w:val="bottom"/>
            <w:hideMark/>
          </w:tcPr>
          <w:p w14:paraId="792F328F"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100%</w:t>
            </w:r>
          </w:p>
        </w:tc>
      </w:tr>
      <w:tr w:rsidR="0004147E" w:rsidRPr="0004147E" w14:paraId="2ADCA3EA" w14:textId="77777777" w:rsidTr="0004147E">
        <w:trPr>
          <w:trHeight w:val="257"/>
        </w:trPr>
        <w:tc>
          <w:tcPr>
            <w:tcW w:w="1746" w:type="dxa"/>
            <w:tcBorders>
              <w:top w:val="nil"/>
              <w:left w:val="single" w:sz="4" w:space="0" w:color="auto"/>
              <w:bottom w:val="single" w:sz="4" w:space="0" w:color="auto"/>
              <w:right w:val="single" w:sz="4" w:space="0" w:color="auto"/>
            </w:tcBorders>
            <w:shd w:val="clear" w:color="000000" w:fill="FFFFFF"/>
            <w:noWrap/>
            <w:vAlign w:val="bottom"/>
            <w:hideMark/>
          </w:tcPr>
          <w:p w14:paraId="5E17AAF7" w14:textId="77777777" w:rsidR="0004147E" w:rsidRPr="0004147E" w:rsidRDefault="0004147E" w:rsidP="0004147E">
            <w:pPr>
              <w:spacing w:after="0"/>
              <w:jc w:val="center"/>
              <w:rPr>
                <w:rFonts w:ascii="Calibri" w:eastAsia="Times New Roman" w:hAnsi="Calibri" w:cs="Calibri"/>
                <w:b/>
                <w:bCs/>
                <w:color w:val="000000"/>
                <w:sz w:val="16"/>
                <w:szCs w:val="16"/>
                <w:lang w:eastAsia="en-GB"/>
              </w:rPr>
            </w:pPr>
            <w:r w:rsidRPr="0004147E">
              <w:rPr>
                <w:rFonts w:ascii="Calibri" w:eastAsia="Times New Roman" w:hAnsi="Calibri" w:cs="Calibri"/>
                <w:b/>
                <w:bCs/>
                <w:color w:val="000000"/>
                <w:sz w:val="16"/>
                <w:szCs w:val="16"/>
                <w:lang w:eastAsia="en-GB"/>
              </w:rPr>
              <w:t>Patient care</w:t>
            </w:r>
          </w:p>
        </w:tc>
        <w:tc>
          <w:tcPr>
            <w:tcW w:w="772" w:type="dxa"/>
            <w:tcBorders>
              <w:top w:val="nil"/>
              <w:left w:val="nil"/>
              <w:bottom w:val="single" w:sz="4" w:space="0" w:color="auto"/>
              <w:right w:val="single" w:sz="4" w:space="0" w:color="auto"/>
            </w:tcBorders>
            <w:shd w:val="clear" w:color="000000" w:fill="00B050"/>
            <w:noWrap/>
            <w:vAlign w:val="bottom"/>
            <w:hideMark/>
          </w:tcPr>
          <w:p w14:paraId="4D06BA05"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86%</w:t>
            </w:r>
          </w:p>
        </w:tc>
        <w:tc>
          <w:tcPr>
            <w:tcW w:w="846" w:type="dxa"/>
            <w:tcBorders>
              <w:top w:val="nil"/>
              <w:left w:val="nil"/>
              <w:bottom w:val="single" w:sz="4" w:space="0" w:color="auto"/>
              <w:right w:val="single" w:sz="4" w:space="0" w:color="auto"/>
            </w:tcBorders>
            <w:shd w:val="clear" w:color="000000" w:fill="00B050"/>
            <w:noWrap/>
            <w:vAlign w:val="bottom"/>
            <w:hideMark/>
          </w:tcPr>
          <w:p w14:paraId="161B2810"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14%</w:t>
            </w:r>
          </w:p>
        </w:tc>
      </w:tr>
      <w:tr w:rsidR="0004147E" w:rsidRPr="0004147E" w14:paraId="09963408" w14:textId="77777777" w:rsidTr="0004147E">
        <w:trPr>
          <w:trHeight w:val="257"/>
        </w:trPr>
        <w:tc>
          <w:tcPr>
            <w:tcW w:w="1746" w:type="dxa"/>
            <w:tcBorders>
              <w:top w:val="nil"/>
              <w:left w:val="single" w:sz="4" w:space="0" w:color="auto"/>
              <w:bottom w:val="single" w:sz="4" w:space="0" w:color="auto"/>
              <w:right w:val="single" w:sz="4" w:space="0" w:color="auto"/>
            </w:tcBorders>
            <w:shd w:val="clear" w:color="000000" w:fill="FFFFFF"/>
            <w:noWrap/>
            <w:vAlign w:val="bottom"/>
            <w:hideMark/>
          </w:tcPr>
          <w:p w14:paraId="6D890107" w14:textId="77777777" w:rsidR="0004147E" w:rsidRPr="0004147E" w:rsidRDefault="0004147E" w:rsidP="0004147E">
            <w:pPr>
              <w:spacing w:after="0"/>
              <w:jc w:val="center"/>
              <w:rPr>
                <w:rFonts w:ascii="Calibri" w:eastAsia="Times New Roman" w:hAnsi="Calibri" w:cs="Calibri"/>
                <w:b/>
                <w:bCs/>
                <w:color w:val="000000"/>
                <w:sz w:val="16"/>
                <w:szCs w:val="16"/>
                <w:lang w:eastAsia="en-GB"/>
              </w:rPr>
            </w:pPr>
            <w:r w:rsidRPr="0004147E">
              <w:rPr>
                <w:rFonts w:ascii="Calibri" w:eastAsia="Times New Roman" w:hAnsi="Calibri" w:cs="Calibri"/>
                <w:b/>
                <w:bCs/>
                <w:color w:val="000000"/>
                <w:sz w:val="16"/>
                <w:szCs w:val="16"/>
                <w:lang w:eastAsia="en-GB"/>
              </w:rPr>
              <w:t>Staff attitude</w:t>
            </w:r>
          </w:p>
        </w:tc>
        <w:tc>
          <w:tcPr>
            <w:tcW w:w="772" w:type="dxa"/>
            <w:tcBorders>
              <w:top w:val="nil"/>
              <w:left w:val="nil"/>
              <w:bottom w:val="single" w:sz="4" w:space="0" w:color="auto"/>
              <w:right w:val="single" w:sz="4" w:space="0" w:color="auto"/>
            </w:tcBorders>
            <w:shd w:val="clear" w:color="000000" w:fill="00B050"/>
            <w:noWrap/>
            <w:vAlign w:val="bottom"/>
            <w:hideMark/>
          </w:tcPr>
          <w:p w14:paraId="3BF94C26"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81%</w:t>
            </w:r>
          </w:p>
        </w:tc>
        <w:tc>
          <w:tcPr>
            <w:tcW w:w="846" w:type="dxa"/>
            <w:tcBorders>
              <w:top w:val="nil"/>
              <w:left w:val="nil"/>
              <w:bottom w:val="single" w:sz="4" w:space="0" w:color="auto"/>
              <w:right w:val="single" w:sz="4" w:space="0" w:color="auto"/>
            </w:tcBorders>
            <w:shd w:val="clear" w:color="000000" w:fill="00B050"/>
            <w:noWrap/>
            <w:vAlign w:val="bottom"/>
            <w:hideMark/>
          </w:tcPr>
          <w:p w14:paraId="65EB2924"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19%</w:t>
            </w:r>
          </w:p>
        </w:tc>
      </w:tr>
      <w:tr w:rsidR="0004147E" w:rsidRPr="0004147E" w14:paraId="68500EE3" w14:textId="77777777" w:rsidTr="0004147E">
        <w:trPr>
          <w:trHeight w:val="257"/>
        </w:trPr>
        <w:tc>
          <w:tcPr>
            <w:tcW w:w="1746" w:type="dxa"/>
            <w:tcBorders>
              <w:top w:val="nil"/>
              <w:left w:val="single" w:sz="4" w:space="0" w:color="auto"/>
              <w:bottom w:val="single" w:sz="4" w:space="0" w:color="auto"/>
              <w:right w:val="single" w:sz="4" w:space="0" w:color="auto"/>
            </w:tcBorders>
            <w:shd w:val="clear" w:color="000000" w:fill="FFFFFF"/>
            <w:noWrap/>
            <w:vAlign w:val="bottom"/>
            <w:hideMark/>
          </w:tcPr>
          <w:p w14:paraId="6256C43C" w14:textId="77777777" w:rsidR="0004147E" w:rsidRPr="0004147E" w:rsidRDefault="0004147E" w:rsidP="0004147E">
            <w:pPr>
              <w:spacing w:after="0"/>
              <w:jc w:val="center"/>
              <w:rPr>
                <w:rFonts w:ascii="Calibri" w:eastAsia="Times New Roman" w:hAnsi="Calibri" w:cs="Calibri"/>
                <w:b/>
                <w:bCs/>
                <w:color w:val="000000"/>
                <w:sz w:val="16"/>
                <w:szCs w:val="16"/>
                <w:lang w:eastAsia="en-GB"/>
              </w:rPr>
            </w:pPr>
            <w:r w:rsidRPr="0004147E">
              <w:rPr>
                <w:rFonts w:ascii="Calibri" w:eastAsia="Times New Roman" w:hAnsi="Calibri" w:cs="Calibri"/>
                <w:b/>
                <w:bCs/>
                <w:color w:val="000000"/>
                <w:sz w:val="16"/>
                <w:szCs w:val="16"/>
                <w:lang w:eastAsia="en-GB"/>
              </w:rPr>
              <w:t>Environment</w:t>
            </w:r>
          </w:p>
        </w:tc>
        <w:tc>
          <w:tcPr>
            <w:tcW w:w="772" w:type="dxa"/>
            <w:tcBorders>
              <w:top w:val="nil"/>
              <w:left w:val="nil"/>
              <w:bottom w:val="single" w:sz="4" w:space="0" w:color="auto"/>
              <w:right w:val="single" w:sz="4" w:space="0" w:color="auto"/>
            </w:tcBorders>
            <w:shd w:val="clear" w:color="000000" w:fill="00B050"/>
            <w:noWrap/>
            <w:vAlign w:val="bottom"/>
            <w:hideMark/>
          </w:tcPr>
          <w:p w14:paraId="35B32DE1"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100%</w:t>
            </w:r>
          </w:p>
        </w:tc>
        <w:tc>
          <w:tcPr>
            <w:tcW w:w="846" w:type="dxa"/>
            <w:tcBorders>
              <w:top w:val="nil"/>
              <w:left w:val="nil"/>
              <w:bottom w:val="single" w:sz="4" w:space="0" w:color="auto"/>
              <w:right w:val="single" w:sz="4" w:space="0" w:color="auto"/>
            </w:tcBorders>
            <w:shd w:val="clear" w:color="000000" w:fill="00B050"/>
            <w:noWrap/>
            <w:vAlign w:val="bottom"/>
            <w:hideMark/>
          </w:tcPr>
          <w:p w14:paraId="35F3E2C9"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0%</w:t>
            </w:r>
          </w:p>
        </w:tc>
      </w:tr>
      <w:tr w:rsidR="0004147E" w:rsidRPr="0004147E" w14:paraId="0B7DA1C1" w14:textId="77777777" w:rsidTr="0004147E">
        <w:trPr>
          <w:trHeight w:val="49"/>
        </w:trPr>
        <w:tc>
          <w:tcPr>
            <w:tcW w:w="1746" w:type="dxa"/>
            <w:tcBorders>
              <w:top w:val="nil"/>
              <w:left w:val="single" w:sz="4" w:space="0" w:color="auto"/>
              <w:bottom w:val="single" w:sz="4" w:space="0" w:color="auto"/>
              <w:right w:val="single" w:sz="4" w:space="0" w:color="auto"/>
            </w:tcBorders>
            <w:shd w:val="clear" w:color="000000" w:fill="FFFFFF"/>
            <w:noWrap/>
            <w:vAlign w:val="bottom"/>
            <w:hideMark/>
          </w:tcPr>
          <w:p w14:paraId="6257FA72" w14:textId="77777777" w:rsidR="0004147E" w:rsidRPr="0004147E" w:rsidRDefault="0004147E" w:rsidP="0004147E">
            <w:pPr>
              <w:spacing w:after="0"/>
              <w:jc w:val="center"/>
              <w:rPr>
                <w:rFonts w:ascii="Calibri" w:eastAsia="Times New Roman" w:hAnsi="Calibri" w:cs="Calibri"/>
                <w:b/>
                <w:bCs/>
                <w:color w:val="000000"/>
                <w:sz w:val="16"/>
                <w:szCs w:val="16"/>
                <w:lang w:eastAsia="en-GB"/>
              </w:rPr>
            </w:pPr>
            <w:r w:rsidRPr="0004147E">
              <w:rPr>
                <w:rFonts w:ascii="Calibri" w:eastAsia="Times New Roman" w:hAnsi="Calibri" w:cs="Calibri"/>
                <w:b/>
                <w:bCs/>
                <w:color w:val="000000"/>
                <w:sz w:val="16"/>
                <w:szCs w:val="16"/>
                <w:lang w:eastAsia="en-GB"/>
              </w:rPr>
              <w:t>Waiting times</w:t>
            </w:r>
          </w:p>
        </w:tc>
        <w:tc>
          <w:tcPr>
            <w:tcW w:w="772" w:type="dxa"/>
            <w:tcBorders>
              <w:top w:val="nil"/>
              <w:left w:val="nil"/>
              <w:bottom w:val="single" w:sz="4" w:space="0" w:color="auto"/>
              <w:right w:val="single" w:sz="4" w:space="0" w:color="auto"/>
            </w:tcBorders>
            <w:shd w:val="clear" w:color="000000" w:fill="FF0000"/>
            <w:noWrap/>
            <w:vAlign w:val="bottom"/>
            <w:hideMark/>
          </w:tcPr>
          <w:p w14:paraId="642FDB67"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37%</w:t>
            </w:r>
          </w:p>
        </w:tc>
        <w:tc>
          <w:tcPr>
            <w:tcW w:w="846" w:type="dxa"/>
            <w:tcBorders>
              <w:top w:val="nil"/>
              <w:left w:val="nil"/>
              <w:bottom w:val="single" w:sz="4" w:space="0" w:color="auto"/>
              <w:right w:val="single" w:sz="4" w:space="0" w:color="auto"/>
            </w:tcBorders>
            <w:shd w:val="clear" w:color="000000" w:fill="FF0000"/>
            <w:noWrap/>
            <w:vAlign w:val="bottom"/>
            <w:hideMark/>
          </w:tcPr>
          <w:p w14:paraId="1B00DF27"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63%</w:t>
            </w:r>
          </w:p>
        </w:tc>
      </w:tr>
    </w:tbl>
    <w:tbl>
      <w:tblPr>
        <w:tblpPr w:leftFromText="180" w:rightFromText="180" w:vertAnchor="text" w:horzAnchor="page" w:tblpX="4154" w:tblpY="681"/>
        <w:tblOverlap w:val="never"/>
        <w:tblW w:w="3558" w:type="dxa"/>
        <w:tblLook w:val="04A0" w:firstRow="1" w:lastRow="0" w:firstColumn="1" w:lastColumn="0" w:noHBand="0" w:noVBand="1"/>
      </w:tblPr>
      <w:tblGrid>
        <w:gridCol w:w="1836"/>
        <w:gridCol w:w="820"/>
        <w:gridCol w:w="902"/>
      </w:tblGrid>
      <w:tr w:rsidR="0004147E" w:rsidRPr="0004147E" w14:paraId="4CDF1A06" w14:textId="77777777" w:rsidTr="0004147E">
        <w:trPr>
          <w:trHeight w:val="251"/>
        </w:trPr>
        <w:tc>
          <w:tcPr>
            <w:tcW w:w="1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F19FC" w14:textId="77777777" w:rsidR="0004147E" w:rsidRPr="0004147E" w:rsidRDefault="0004147E" w:rsidP="0004147E">
            <w:pPr>
              <w:spacing w:after="0"/>
              <w:jc w:val="center"/>
              <w:rPr>
                <w:rFonts w:ascii="Calibri" w:eastAsia="Times New Roman" w:hAnsi="Calibri" w:cs="Calibri"/>
                <w:b/>
                <w:bCs/>
                <w:color w:val="000000"/>
                <w:sz w:val="16"/>
                <w:szCs w:val="16"/>
                <w:lang w:eastAsia="en-GB"/>
              </w:rPr>
            </w:pPr>
            <w:r w:rsidRPr="0004147E">
              <w:rPr>
                <w:rFonts w:ascii="Calibri" w:eastAsia="Times New Roman" w:hAnsi="Calibri" w:cs="Calibri"/>
                <w:b/>
                <w:bCs/>
                <w:color w:val="000000"/>
                <w:sz w:val="16"/>
                <w:szCs w:val="16"/>
                <w:lang w:eastAsia="en-GB"/>
              </w:rPr>
              <w:t xml:space="preserve">Google - CW </w:t>
            </w:r>
          </w:p>
        </w:tc>
        <w:tc>
          <w:tcPr>
            <w:tcW w:w="820" w:type="dxa"/>
            <w:tcBorders>
              <w:top w:val="single" w:sz="4" w:space="0" w:color="auto"/>
              <w:left w:val="nil"/>
              <w:bottom w:val="single" w:sz="4" w:space="0" w:color="auto"/>
              <w:right w:val="single" w:sz="4" w:space="0" w:color="auto"/>
            </w:tcBorders>
            <w:shd w:val="clear" w:color="000000" w:fill="FFFFFF"/>
            <w:noWrap/>
            <w:vAlign w:val="bottom"/>
            <w:hideMark/>
          </w:tcPr>
          <w:p w14:paraId="6F14D9F2" w14:textId="77777777" w:rsidR="0004147E" w:rsidRPr="0004147E" w:rsidRDefault="0004147E" w:rsidP="0004147E">
            <w:pPr>
              <w:spacing w:after="0"/>
              <w:jc w:val="center"/>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Positive</w:t>
            </w:r>
          </w:p>
        </w:tc>
        <w:tc>
          <w:tcPr>
            <w:tcW w:w="902" w:type="dxa"/>
            <w:tcBorders>
              <w:top w:val="single" w:sz="4" w:space="0" w:color="auto"/>
              <w:left w:val="nil"/>
              <w:bottom w:val="single" w:sz="4" w:space="0" w:color="auto"/>
              <w:right w:val="single" w:sz="4" w:space="0" w:color="auto"/>
            </w:tcBorders>
            <w:shd w:val="clear" w:color="000000" w:fill="FFFFFF"/>
            <w:noWrap/>
            <w:vAlign w:val="bottom"/>
            <w:hideMark/>
          </w:tcPr>
          <w:p w14:paraId="0DFA0D5B" w14:textId="77777777" w:rsidR="0004147E" w:rsidRPr="0004147E" w:rsidRDefault="0004147E" w:rsidP="0004147E">
            <w:pPr>
              <w:spacing w:after="0"/>
              <w:jc w:val="center"/>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Negative</w:t>
            </w:r>
          </w:p>
        </w:tc>
      </w:tr>
      <w:tr w:rsidR="0004147E" w:rsidRPr="0004147E" w14:paraId="4F45E434" w14:textId="77777777" w:rsidTr="0004147E">
        <w:trPr>
          <w:trHeight w:val="251"/>
        </w:trPr>
        <w:tc>
          <w:tcPr>
            <w:tcW w:w="1836" w:type="dxa"/>
            <w:tcBorders>
              <w:top w:val="nil"/>
              <w:left w:val="single" w:sz="4" w:space="0" w:color="auto"/>
              <w:bottom w:val="single" w:sz="4" w:space="0" w:color="auto"/>
              <w:right w:val="single" w:sz="4" w:space="0" w:color="auto"/>
            </w:tcBorders>
            <w:shd w:val="clear" w:color="000000" w:fill="FFFFFF"/>
            <w:noWrap/>
            <w:vAlign w:val="bottom"/>
            <w:hideMark/>
          </w:tcPr>
          <w:p w14:paraId="25F63A56" w14:textId="77777777" w:rsidR="0004147E" w:rsidRPr="0004147E" w:rsidRDefault="0004147E" w:rsidP="0004147E">
            <w:pPr>
              <w:spacing w:after="0"/>
              <w:jc w:val="center"/>
              <w:rPr>
                <w:rFonts w:ascii="Calibri" w:eastAsia="Times New Roman" w:hAnsi="Calibri" w:cs="Calibri"/>
                <w:b/>
                <w:bCs/>
                <w:color w:val="000000"/>
                <w:sz w:val="16"/>
                <w:szCs w:val="16"/>
                <w:lang w:eastAsia="en-GB"/>
              </w:rPr>
            </w:pPr>
            <w:r w:rsidRPr="0004147E">
              <w:rPr>
                <w:rFonts w:ascii="Calibri" w:eastAsia="Times New Roman" w:hAnsi="Calibri" w:cs="Calibri"/>
                <w:b/>
                <w:bCs/>
                <w:color w:val="000000"/>
                <w:sz w:val="16"/>
                <w:szCs w:val="16"/>
                <w:lang w:eastAsia="en-GB"/>
              </w:rPr>
              <w:t>Access to treatment</w:t>
            </w:r>
          </w:p>
        </w:tc>
        <w:tc>
          <w:tcPr>
            <w:tcW w:w="820" w:type="dxa"/>
            <w:tcBorders>
              <w:top w:val="nil"/>
              <w:left w:val="nil"/>
              <w:bottom w:val="single" w:sz="4" w:space="0" w:color="auto"/>
              <w:right w:val="single" w:sz="4" w:space="0" w:color="auto"/>
            </w:tcBorders>
            <w:shd w:val="clear" w:color="000000" w:fill="00B050"/>
            <w:noWrap/>
            <w:vAlign w:val="bottom"/>
            <w:hideMark/>
          </w:tcPr>
          <w:p w14:paraId="7228CD21"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87%</w:t>
            </w:r>
          </w:p>
        </w:tc>
        <w:tc>
          <w:tcPr>
            <w:tcW w:w="902" w:type="dxa"/>
            <w:tcBorders>
              <w:top w:val="nil"/>
              <w:left w:val="nil"/>
              <w:bottom w:val="single" w:sz="4" w:space="0" w:color="auto"/>
              <w:right w:val="single" w:sz="4" w:space="0" w:color="auto"/>
            </w:tcBorders>
            <w:shd w:val="clear" w:color="000000" w:fill="00B050"/>
            <w:noWrap/>
            <w:vAlign w:val="bottom"/>
            <w:hideMark/>
          </w:tcPr>
          <w:p w14:paraId="22526DAA"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13%</w:t>
            </w:r>
          </w:p>
        </w:tc>
      </w:tr>
      <w:tr w:rsidR="0004147E" w:rsidRPr="0004147E" w14:paraId="4BDDCD48" w14:textId="77777777" w:rsidTr="0004147E">
        <w:trPr>
          <w:trHeight w:val="251"/>
        </w:trPr>
        <w:tc>
          <w:tcPr>
            <w:tcW w:w="1836" w:type="dxa"/>
            <w:tcBorders>
              <w:top w:val="nil"/>
              <w:left w:val="single" w:sz="4" w:space="0" w:color="auto"/>
              <w:bottom w:val="single" w:sz="4" w:space="0" w:color="auto"/>
              <w:right w:val="single" w:sz="4" w:space="0" w:color="auto"/>
            </w:tcBorders>
            <w:shd w:val="clear" w:color="000000" w:fill="FFFFFF"/>
            <w:noWrap/>
            <w:vAlign w:val="bottom"/>
            <w:hideMark/>
          </w:tcPr>
          <w:p w14:paraId="475089BD" w14:textId="77777777" w:rsidR="0004147E" w:rsidRPr="0004147E" w:rsidRDefault="0004147E" w:rsidP="0004147E">
            <w:pPr>
              <w:spacing w:after="0"/>
              <w:jc w:val="center"/>
              <w:rPr>
                <w:rFonts w:ascii="Calibri" w:eastAsia="Times New Roman" w:hAnsi="Calibri" w:cs="Calibri"/>
                <w:b/>
                <w:bCs/>
                <w:color w:val="000000"/>
                <w:sz w:val="16"/>
                <w:szCs w:val="16"/>
                <w:lang w:eastAsia="en-GB"/>
              </w:rPr>
            </w:pPr>
            <w:r w:rsidRPr="0004147E">
              <w:rPr>
                <w:rFonts w:ascii="Calibri" w:eastAsia="Times New Roman" w:hAnsi="Calibri" w:cs="Calibri"/>
                <w:b/>
                <w:bCs/>
                <w:color w:val="000000"/>
                <w:sz w:val="16"/>
                <w:szCs w:val="16"/>
                <w:lang w:eastAsia="en-GB"/>
              </w:rPr>
              <w:t>Appointments</w:t>
            </w:r>
          </w:p>
        </w:tc>
        <w:tc>
          <w:tcPr>
            <w:tcW w:w="820" w:type="dxa"/>
            <w:tcBorders>
              <w:top w:val="nil"/>
              <w:left w:val="nil"/>
              <w:bottom w:val="single" w:sz="4" w:space="0" w:color="auto"/>
              <w:right w:val="single" w:sz="4" w:space="0" w:color="auto"/>
            </w:tcBorders>
            <w:shd w:val="clear" w:color="000000" w:fill="00B050"/>
            <w:noWrap/>
            <w:vAlign w:val="bottom"/>
            <w:hideMark/>
          </w:tcPr>
          <w:p w14:paraId="77C0F23F"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86%</w:t>
            </w:r>
          </w:p>
        </w:tc>
        <w:tc>
          <w:tcPr>
            <w:tcW w:w="902" w:type="dxa"/>
            <w:tcBorders>
              <w:top w:val="nil"/>
              <w:left w:val="nil"/>
              <w:bottom w:val="single" w:sz="4" w:space="0" w:color="auto"/>
              <w:right w:val="single" w:sz="4" w:space="0" w:color="auto"/>
            </w:tcBorders>
            <w:shd w:val="clear" w:color="000000" w:fill="00B050"/>
            <w:noWrap/>
            <w:vAlign w:val="bottom"/>
            <w:hideMark/>
          </w:tcPr>
          <w:p w14:paraId="401A4BE1"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14%</w:t>
            </w:r>
          </w:p>
        </w:tc>
      </w:tr>
      <w:tr w:rsidR="0004147E" w:rsidRPr="0004147E" w14:paraId="68321F4A" w14:textId="77777777" w:rsidTr="0004147E">
        <w:trPr>
          <w:trHeight w:val="251"/>
        </w:trPr>
        <w:tc>
          <w:tcPr>
            <w:tcW w:w="1836" w:type="dxa"/>
            <w:tcBorders>
              <w:top w:val="nil"/>
              <w:left w:val="single" w:sz="4" w:space="0" w:color="auto"/>
              <w:bottom w:val="single" w:sz="4" w:space="0" w:color="auto"/>
              <w:right w:val="single" w:sz="4" w:space="0" w:color="auto"/>
            </w:tcBorders>
            <w:shd w:val="clear" w:color="000000" w:fill="FFFFFF"/>
            <w:noWrap/>
            <w:vAlign w:val="bottom"/>
            <w:hideMark/>
          </w:tcPr>
          <w:p w14:paraId="17191521" w14:textId="77777777" w:rsidR="0004147E" w:rsidRPr="0004147E" w:rsidRDefault="0004147E" w:rsidP="0004147E">
            <w:pPr>
              <w:spacing w:after="0"/>
              <w:jc w:val="center"/>
              <w:rPr>
                <w:rFonts w:ascii="Calibri" w:eastAsia="Times New Roman" w:hAnsi="Calibri" w:cs="Calibri"/>
                <w:b/>
                <w:bCs/>
                <w:color w:val="000000"/>
                <w:sz w:val="16"/>
                <w:szCs w:val="16"/>
                <w:lang w:eastAsia="en-GB"/>
              </w:rPr>
            </w:pPr>
            <w:r w:rsidRPr="0004147E">
              <w:rPr>
                <w:rFonts w:ascii="Calibri" w:eastAsia="Times New Roman" w:hAnsi="Calibri" w:cs="Calibri"/>
                <w:b/>
                <w:bCs/>
                <w:color w:val="000000"/>
                <w:sz w:val="16"/>
                <w:szCs w:val="16"/>
                <w:lang w:eastAsia="en-GB"/>
              </w:rPr>
              <w:t>Clinical treatment</w:t>
            </w:r>
          </w:p>
        </w:tc>
        <w:tc>
          <w:tcPr>
            <w:tcW w:w="820" w:type="dxa"/>
            <w:tcBorders>
              <w:top w:val="nil"/>
              <w:left w:val="nil"/>
              <w:bottom w:val="single" w:sz="4" w:space="0" w:color="auto"/>
              <w:right w:val="single" w:sz="4" w:space="0" w:color="auto"/>
            </w:tcBorders>
            <w:shd w:val="clear" w:color="000000" w:fill="00B050"/>
            <w:noWrap/>
            <w:vAlign w:val="bottom"/>
            <w:hideMark/>
          </w:tcPr>
          <w:p w14:paraId="384C61E3"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84%</w:t>
            </w:r>
          </w:p>
        </w:tc>
        <w:tc>
          <w:tcPr>
            <w:tcW w:w="902" w:type="dxa"/>
            <w:tcBorders>
              <w:top w:val="nil"/>
              <w:left w:val="nil"/>
              <w:bottom w:val="single" w:sz="4" w:space="0" w:color="auto"/>
              <w:right w:val="single" w:sz="4" w:space="0" w:color="auto"/>
            </w:tcBorders>
            <w:shd w:val="clear" w:color="000000" w:fill="00B050"/>
            <w:noWrap/>
            <w:vAlign w:val="bottom"/>
            <w:hideMark/>
          </w:tcPr>
          <w:p w14:paraId="65542591"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16%</w:t>
            </w:r>
          </w:p>
        </w:tc>
      </w:tr>
      <w:tr w:rsidR="0004147E" w:rsidRPr="0004147E" w14:paraId="0C045267" w14:textId="77777777" w:rsidTr="0004147E">
        <w:trPr>
          <w:trHeight w:val="251"/>
        </w:trPr>
        <w:tc>
          <w:tcPr>
            <w:tcW w:w="1836" w:type="dxa"/>
            <w:tcBorders>
              <w:top w:val="nil"/>
              <w:left w:val="single" w:sz="4" w:space="0" w:color="auto"/>
              <w:bottom w:val="single" w:sz="4" w:space="0" w:color="auto"/>
              <w:right w:val="single" w:sz="4" w:space="0" w:color="auto"/>
            </w:tcBorders>
            <w:shd w:val="clear" w:color="000000" w:fill="FFFFFF"/>
            <w:noWrap/>
            <w:vAlign w:val="bottom"/>
            <w:hideMark/>
          </w:tcPr>
          <w:p w14:paraId="65E73E23" w14:textId="77777777" w:rsidR="0004147E" w:rsidRPr="0004147E" w:rsidRDefault="0004147E" w:rsidP="0004147E">
            <w:pPr>
              <w:spacing w:after="0"/>
              <w:jc w:val="center"/>
              <w:rPr>
                <w:rFonts w:ascii="Calibri" w:eastAsia="Times New Roman" w:hAnsi="Calibri" w:cs="Calibri"/>
                <w:b/>
                <w:bCs/>
                <w:color w:val="000000"/>
                <w:sz w:val="16"/>
                <w:szCs w:val="16"/>
                <w:lang w:eastAsia="en-GB"/>
              </w:rPr>
            </w:pPr>
            <w:r w:rsidRPr="0004147E">
              <w:rPr>
                <w:rFonts w:ascii="Calibri" w:eastAsia="Times New Roman" w:hAnsi="Calibri" w:cs="Calibri"/>
                <w:b/>
                <w:bCs/>
                <w:color w:val="000000"/>
                <w:sz w:val="16"/>
                <w:szCs w:val="16"/>
                <w:lang w:eastAsia="en-GB"/>
              </w:rPr>
              <w:t>Communication</w:t>
            </w:r>
          </w:p>
        </w:tc>
        <w:tc>
          <w:tcPr>
            <w:tcW w:w="820" w:type="dxa"/>
            <w:tcBorders>
              <w:top w:val="nil"/>
              <w:left w:val="nil"/>
              <w:bottom w:val="single" w:sz="4" w:space="0" w:color="auto"/>
              <w:right w:val="single" w:sz="4" w:space="0" w:color="auto"/>
            </w:tcBorders>
            <w:shd w:val="clear" w:color="000000" w:fill="FFC000"/>
            <w:noWrap/>
            <w:vAlign w:val="bottom"/>
            <w:hideMark/>
          </w:tcPr>
          <w:p w14:paraId="73479FE6"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58%</w:t>
            </w:r>
          </w:p>
        </w:tc>
        <w:tc>
          <w:tcPr>
            <w:tcW w:w="902" w:type="dxa"/>
            <w:tcBorders>
              <w:top w:val="nil"/>
              <w:left w:val="nil"/>
              <w:bottom w:val="single" w:sz="4" w:space="0" w:color="auto"/>
              <w:right w:val="single" w:sz="4" w:space="0" w:color="auto"/>
            </w:tcBorders>
            <w:shd w:val="clear" w:color="000000" w:fill="FFC000"/>
            <w:noWrap/>
            <w:vAlign w:val="bottom"/>
            <w:hideMark/>
          </w:tcPr>
          <w:p w14:paraId="1DCE3CEF"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42%</w:t>
            </w:r>
          </w:p>
        </w:tc>
      </w:tr>
      <w:tr w:rsidR="0004147E" w:rsidRPr="0004147E" w14:paraId="4DE066E4" w14:textId="77777777" w:rsidTr="0004147E">
        <w:trPr>
          <w:trHeight w:val="251"/>
        </w:trPr>
        <w:tc>
          <w:tcPr>
            <w:tcW w:w="1836" w:type="dxa"/>
            <w:tcBorders>
              <w:top w:val="nil"/>
              <w:left w:val="single" w:sz="4" w:space="0" w:color="auto"/>
              <w:bottom w:val="single" w:sz="4" w:space="0" w:color="auto"/>
              <w:right w:val="single" w:sz="4" w:space="0" w:color="auto"/>
            </w:tcBorders>
            <w:shd w:val="clear" w:color="000000" w:fill="FFFFFF"/>
            <w:noWrap/>
            <w:vAlign w:val="bottom"/>
            <w:hideMark/>
          </w:tcPr>
          <w:p w14:paraId="1CD9E807" w14:textId="77777777" w:rsidR="0004147E" w:rsidRPr="0004147E" w:rsidRDefault="0004147E" w:rsidP="0004147E">
            <w:pPr>
              <w:spacing w:after="0"/>
              <w:jc w:val="center"/>
              <w:rPr>
                <w:rFonts w:ascii="Calibri" w:eastAsia="Times New Roman" w:hAnsi="Calibri" w:cs="Calibri"/>
                <w:b/>
                <w:bCs/>
                <w:color w:val="000000"/>
                <w:sz w:val="16"/>
                <w:szCs w:val="16"/>
                <w:lang w:eastAsia="en-GB"/>
              </w:rPr>
            </w:pPr>
            <w:r w:rsidRPr="0004147E">
              <w:rPr>
                <w:rFonts w:ascii="Calibri" w:eastAsia="Times New Roman" w:hAnsi="Calibri" w:cs="Calibri"/>
                <w:b/>
                <w:bCs/>
                <w:color w:val="000000"/>
                <w:sz w:val="16"/>
                <w:szCs w:val="16"/>
                <w:lang w:eastAsia="en-GB"/>
              </w:rPr>
              <w:t>Privacy &amp; Dignity</w:t>
            </w:r>
          </w:p>
        </w:tc>
        <w:tc>
          <w:tcPr>
            <w:tcW w:w="820" w:type="dxa"/>
            <w:tcBorders>
              <w:top w:val="nil"/>
              <w:left w:val="nil"/>
              <w:bottom w:val="single" w:sz="4" w:space="0" w:color="auto"/>
              <w:right w:val="single" w:sz="4" w:space="0" w:color="auto"/>
            </w:tcBorders>
            <w:shd w:val="clear" w:color="000000" w:fill="FFF2CC"/>
            <w:noWrap/>
            <w:vAlign w:val="bottom"/>
            <w:hideMark/>
          </w:tcPr>
          <w:p w14:paraId="6EA70744"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0%</w:t>
            </w:r>
          </w:p>
        </w:tc>
        <w:tc>
          <w:tcPr>
            <w:tcW w:w="902" w:type="dxa"/>
            <w:tcBorders>
              <w:top w:val="nil"/>
              <w:left w:val="nil"/>
              <w:bottom w:val="single" w:sz="4" w:space="0" w:color="auto"/>
              <w:right w:val="single" w:sz="4" w:space="0" w:color="auto"/>
            </w:tcBorders>
            <w:shd w:val="clear" w:color="000000" w:fill="FFF2CC"/>
            <w:noWrap/>
            <w:vAlign w:val="bottom"/>
            <w:hideMark/>
          </w:tcPr>
          <w:p w14:paraId="18CEBAC9"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0%</w:t>
            </w:r>
          </w:p>
        </w:tc>
      </w:tr>
      <w:tr w:rsidR="0004147E" w:rsidRPr="0004147E" w14:paraId="08705F31" w14:textId="77777777" w:rsidTr="0004147E">
        <w:trPr>
          <w:trHeight w:val="251"/>
        </w:trPr>
        <w:tc>
          <w:tcPr>
            <w:tcW w:w="1836" w:type="dxa"/>
            <w:tcBorders>
              <w:top w:val="nil"/>
              <w:left w:val="single" w:sz="4" w:space="0" w:color="auto"/>
              <w:bottom w:val="single" w:sz="4" w:space="0" w:color="auto"/>
              <w:right w:val="single" w:sz="4" w:space="0" w:color="auto"/>
            </w:tcBorders>
            <w:shd w:val="clear" w:color="000000" w:fill="FFFFFF"/>
            <w:noWrap/>
            <w:vAlign w:val="bottom"/>
            <w:hideMark/>
          </w:tcPr>
          <w:p w14:paraId="34D829AC" w14:textId="77777777" w:rsidR="0004147E" w:rsidRPr="0004147E" w:rsidRDefault="0004147E" w:rsidP="0004147E">
            <w:pPr>
              <w:spacing w:after="0"/>
              <w:jc w:val="center"/>
              <w:rPr>
                <w:rFonts w:ascii="Calibri" w:eastAsia="Times New Roman" w:hAnsi="Calibri" w:cs="Calibri"/>
                <w:b/>
                <w:bCs/>
                <w:color w:val="000000"/>
                <w:sz w:val="16"/>
                <w:szCs w:val="16"/>
                <w:lang w:eastAsia="en-GB"/>
              </w:rPr>
            </w:pPr>
            <w:r w:rsidRPr="0004147E">
              <w:rPr>
                <w:rFonts w:ascii="Calibri" w:eastAsia="Times New Roman" w:hAnsi="Calibri" w:cs="Calibri"/>
                <w:b/>
                <w:bCs/>
                <w:color w:val="000000"/>
                <w:sz w:val="16"/>
                <w:szCs w:val="16"/>
                <w:lang w:eastAsia="en-GB"/>
              </w:rPr>
              <w:t>Patient care</w:t>
            </w:r>
          </w:p>
        </w:tc>
        <w:tc>
          <w:tcPr>
            <w:tcW w:w="820" w:type="dxa"/>
            <w:tcBorders>
              <w:top w:val="nil"/>
              <w:left w:val="nil"/>
              <w:bottom w:val="single" w:sz="4" w:space="0" w:color="auto"/>
              <w:right w:val="single" w:sz="4" w:space="0" w:color="auto"/>
            </w:tcBorders>
            <w:shd w:val="clear" w:color="000000" w:fill="FFC000"/>
            <w:noWrap/>
            <w:vAlign w:val="bottom"/>
            <w:hideMark/>
          </w:tcPr>
          <w:p w14:paraId="63C37417"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67%</w:t>
            </w:r>
          </w:p>
        </w:tc>
        <w:tc>
          <w:tcPr>
            <w:tcW w:w="902" w:type="dxa"/>
            <w:tcBorders>
              <w:top w:val="nil"/>
              <w:left w:val="nil"/>
              <w:bottom w:val="single" w:sz="4" w:space="0" w:color="auto"/>
              <w:right w:val="single" w:sz="4" w:space="0" w:color="auto"/>
            </w:tcBorders>
            <w:shd w:val="clear" w:color="000000" w:fill="FFC000"/>
            <w:noWrap/>
            <w:vAlign w:val="bottom"/>
            <w:hideMark/>
          </w:tcPr>
          <w:p w14:paraId="5C497091"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33%</w:t>
            </w:r>
          </w:p>
        </w:tc>
      </w:tr>
      <w:tr w:rsidR="0004147E" w:rsidRPr="0004147E" w14:paraId="19B8D9D4" w14:textId="77777777" w:rsidTr="0004147E">
        <w:trPr>
          <w:trHeight w:val="251"/>
        </w:trPr>
        <w:tc>
          <w:tcPr>
            <w:tcW w:w="1836" w:type="dxa"/>
            <w:tcBorders>
              <w:top w:val="nil"/>
              <w:left w:val="single" w:sz="4" w:space="0" w:color="auto"/>
              <w:bottom w:val="single" w:sz="4" w:space="0" w:color="auto"/>
              <w:right w:val="single" w:sz="4" w:space="0" w:color="auto"/>
            </w:tcBorders>
            <w:shd w:val="clear" w:color="000000" w:fill="FFFFFF"/>
            <w:noWrap/>
            <w:vAlign w:val="bottom"/>
            <w:hideMark/>
          </w:tcPr>
          <w:p w14:paraId="5A009F95" w14:textId="77777777" w:rsidR="0004147E" w:rsidRPr="0004147E" w:rsidRDefault="0004147E" w:rsidP="0004147E">
            <w:pPr>
              <w:spacing w:after="0"/>
              <w:jc w:val="center"/>
              <w:rPr>
                <w:rFonts w:ascii="Calibri" w:eastAsia="Times New Roman" w:hAnsi="Calibri" w:cs="Calibri"/>
                <w:b/>
                <w:bCs/>
                <w:color w:val="000000"/>
                <w:sz w:val="16"/>
                <w:szCs w:val="16"/>
                <w:lang w:eastAsia="en-GB"/>
              </w:rPr>
            </w:pPr>
            <w:r w:rsidRPr="0004147E">
              <w:rPr>
                <w:rFonts w:ascii="Calibri" w:eastAsia="Times New Roman" w:hAnsi="Calibri" w:cs="Calibri"/>
                <w:b/>
                <w:bCs/>
                <w:color w:val="000000"/>
                <w:sz w:val="16"/>
                <w:szCs w:val="16"/>
                <w:lang w:eastAsia="en-GB"/>
              </w:rPr>
              <w:t>Staff attitude</w:t>
            </w:r>
          </w:p>
        </w:tc>
        <w:tc>
          <w:tcPr>
            <w:tcW w:w="820" w:type="dxa"/>
            <w:tcBorders>
              <w:top w:val="nil"/>
              <w:left w:val="nil"/>
              <w:bottom w:val="single" w:sz="4" w:space="0" w:color="auto"/>
              <w:right w:val="single" w:sz="4" w:space="0" w:color="auto"/>
            </w:tcBorders>
            <w:shd w:val="clear" w:color="000000" w:fill="FFC000"/>
            <w:noWrap/>
            <w:vAlign w:val="bottom"/>
            <w:hideMark/>
          </w:tcPr>
          <w:p w14:paraId="64F70D97"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52%</w:t>
            </w:r>
          </w:p>
        </w:tc>
        <w:tc>
          <w:tcPr>
            <w:tcW w:w="902" w:type="dxa"/>
            <w:tcBorders>
              <w:top w:val="nil"/>
              <w:left w:val="nil"/>
              <w:bottom w:val="single" w:sz="4" w:space="0" w:color="auto"/>
              <w:right w:val="single" w:sz="4" w:space="0" w:color="auto"/>
            </w:tcBorders>
            <w:shd w:val="clear" w:color="000000" w:fill="FFC000"/>
            <w:noWrap/>
            <w:vAlign w:val="bottom"/>
            <w:hideMark/>
          </w:tcPr>
          <w:p w14:paraId="74D13A5C"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48%</w:t>
            </w:r>
          </w:p>
        </w:tc>
      </w:tr>
      <w:tr w:rsidR="0004147E" w:rsidRPr="0004147E" w14:paraId="28D51BAC" w14:textId="77777777" w:rsidTr="0004147E">
        <w:trPr>
          <w:trHeight w:val="251"/>
        </w:trPr>
        <w:tc>
          <w:tcPr>
            <w:tcW w:w="1836" w:type="dxa"/>
            <w:tcBorders>
              <w:top w:val="nil"/>
              <w:left w:val="single" w:sz="4" w:space="0" w:color="auto"/>
              <w:bottom w:val="single" w:sz="4" w:space="0" w:color="auto"/>
              <w:right w:val="single" w:sz="4" w:space="0" w:color="auto"/>
            </w:tcBorders>
            <w:shd w:val="clear" w:color="000000" w:fill="FFFFFF"/>
            <w:noWrap/>
            <w:vAlign w:val="bottom"/>
            <w:hideMark/>
          </w:tcPr>
          <w:p w14:paraId="63895DF9" w14:textId="77777777" w:rsidR="0004147E" w:rsidRPr="0004147E" w:rsidRDefault="0004147E" w:rsidP="0004147E">
            <w:pPr>
              <w:spacing w:after="0"/>
              <w:jc w:val="center"/>
              <w:rPr>
                <w:rFonts w:ascii="Calibri" w:eastAsia="Times New Roman" w:hAnsi="Calibri" w:cs="Calibri"/>
                <w:b/>
                <w:bCs/>
                <w:color w:val="000000"/>
                <w:sz w:val="16"/>
                <w:szCs w:val="16"/>
                <w:lang w:eastAsia="en-GB"/>
              </w:rPr>
            </w:pPr>
            <w:r w:rsidRPr="0004147E">
              <w:rPr>
                <w:rFonts w:ascii="Calibri" w:eastAsia="Times New Roman" w:hAnsi="Calibri" w:cs="Calibri"/>
                <w:b/>
                <w:bCs/>
                <w:color w:val="000000"/>
                <w:sz w:val="16"/>
                <w:szCs w:val="16"/>
                <w:lang w:eastAsia="en-GB"/>
              </w:rPr>
              <w:t>Waiting times</w:t>
            </w:r>
          </w:p>
        </w:tc>
        <w:tc>
          <w:tcPr>
            <w:tcW w:w="820" w:type="dxa"/>
            <w:tcBorders>
              <w:top w:val="nil"/>
              <w:left w:val="nil"/>
              <w:bottom w:val="single" w:sz="4" w:space="0" w:color="auto"/>
              <w:right w:val="single" w:sz="4" w:space="0" w:color="auto"/>
            </w:tcBorders>
            <w:shd w:val="clear" w:color="000000" w:fill="FF0000"/>
            <w:noWrap/>
            <w:vAlign w:val="bottom"/>
            <w:hideMark/>
          </w:tcPr>
          <w:p w14:paraId="27E70FFF"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40%</w:t>
            </w:r>
          </w:p>
        </w:tc>
        <w:tc>
          <w:tcPr>
            <w:tcW w:w="902" w:type="dxa"/>
            <w:tcBorders>
              <w:top w:val="nil"/>
              <w:left w:val="nil"/>
              <w:bottom w:val="single" w:sz="4" w:space="0" w:color="auto"/>
              <w:right w:val="single" w:sz="4" w:space="0" w:color="auto"/>
            </w:tcBorders>
            <w:shd w:val="clear" w:color="000000" w:fill="FF0000"/>
            <w:noWrap/>
            <w:vAlign w:val="bottom"/>
            <w:hideMark/>
          </w:tcPr>
          <w:p w14:paraId="665D6ABF"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60%</w:t>
            </w:r>
          </w:p>
        </w:tc>
      </w:tr>
      <w:tr w:rsidR="0004147E" w:rsidRPr="0004147E" w14:paraId="519605D3" w14:textId="77777777" w:rsidTr="0004147E">
        <w:trPr>
          <w:trHeight w:val="251"/>
        </w:trPr>
        <w:tc>
          <w:tcPr>
            <w:tcW w:w="1836" w:type="dxa"/>
            <w:tcBorders>
              <w:top w:val="nil"/>
              <w:left w:val="single" w:sz="4" w:space="0" w:color="auto"/>
              <w:bottom w:val="single" w:sz="4" w:space="0" w:color="auto"/>
              <w:right w:val="single" w:sz="4" w:space="0" w:color="auto"/>
            </w:tcBorders>
            <w:shd w:val="clear" w:color="000000" w:fill="FFFFFF"/>
            <w:noWrap/>
            <w:vAlign w:val="bottom"/>
            <w:hideMark/>
          </w:tcPr>
          <w:p w14:paraId="129359BF" w14:textId="77777777" w:rsidR="0004147E" w:rsidRPr="0004147E" w:rsidRDefault="0004147E" w:rsidP="0004147E">
            <w:pPr>
              <w:spacing w:after="0"/>
              <w:jc w:val="center"/>
              <w:rPr>
                <w:rFonts w:ascii="Calibri" w:eastAsia="Times New Roman" w:hAnsi="Calibri" w:cs="Calibri"/>
                <w:b/>
                <w:bCs/>
                <w:color w:val="000000"/>
                <w:sz w:val="16"/>
                <w:szCs w:val="16"/>
                <w:lang w:eastAsia="en-GB"/>
              </w:rPr>
            </w:pPr>
            <w:r w:rsidRPr="0004147E">
              <w:rPr>
                <w:rFonts w:ascii="Calibri" w:eastAsia="Times New Roman" w:hAnsi="Calibri" w:cs="Calibri"/>
                <w:b/>
                <w:bCs/>
                <w:color w:val="000000"/>
                <w:sz w:val="16"/>
                <w:szCs w:val="16"/>
                <w:lang w:eastAsia="en-GB"/>
              </w:rPr>
              <w:t>Environment</w:t>
            </w:r>
          </w:p>
        </w:tc>
        <w:tc>
          <w:tcPr>
            <w:tcW w:w="820" w:type="dxa"/>
            <w:tcBorders>
              <w:top w:val="nil"/>
              <w:left w:val="nil"/>
              <w:bottom w:val="single" w:sz="4" w:space="0" w:color="auto"/>
              <w:right w:val="single" w:sz="4" w:space="0" w:color="auto"/>
            </w:tcBorders>
            <w:shd w:val="clear" w:color="000000" w:fill="00B050"/>
            <w:noWrap/>
            <w:vAlign w:val="bottom"/>
            <w:hideMark/>
          </w:tcPr>
          <w:p w14:paraId="39E6BA12"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90%</w:t>
            </w:r>
          </w:p>
        </w:tc>
        <w:tc>
          <w:tcPr>
            <w:tcW w:w="902" w:type="dxa"/>
            <w:tcBorders>
              <w:top w:val="nil"/>
              <w:left w:val="nil"/>
              <w:bottom w:val="single" w:sz="4" w:space="0" w:color="auto"/>
              <w:right w:val="single" w:sz="4" w:space="0" w:color="auto"/>
            </w:tcBorders>
            <w:shd w:val="clear" w:color="000000" w:fill="00B050"/>
            <w:noWrap/>
            <w:vAlign w:val="bottom"/>
            <w:hideMark/>
          </w:tcPr>
          <w:p w14:paraId="637D1B87"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10%</w:t>
            </w:r>
          </w:p>
        </w:tc>
      </w:tr>
    </w:tbl>
    <w:tbl>
      <w:tblPr>
        <w:tblpPr w:leftFromText="180" w:rightFromText="180" w:vertAnchor="text" w:horzAnchor="page" w:tblpX="8160" w:tblpY="691"/>
        <w:tblOverlap w:val="never"/>
        <w:tblW w:w="3369" w:type="dxa"/>
        <w:tblLook w:val="04A0" w:firstRow="1" w:lastRow="0" w:firstColumn="1" w:lastColumn="0" w:noHBand="0" w:noVBand="1"/>
      </w:tblPr>
      <w:tblGrid>
        <w:gridCol w:w="1805"/>
        <w:gridCol w:w="766"/>
        <w:gridCol w:w="798"/>
      </w:tblGrid>
      <w:tr w:rsidR="0004147E" w:rsidRPr="0004147E" w14:paraId="646BE2DA" w14:textId="77777777" w:rsidTr="0004147E">
        <w:trPr>
          <w:trHeight w:val="251"/>
        </w:trPr>
        <w:tc>
          <w:tcPr>
            <w:tcW w:w="1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62FE9" w14:textId="77777777" w:rsidR="0004147E" w:rsidRPr="0004147E" w:rsidRDefault="0004147E" w:rsidP="0004147E">
            <w:pPr>
              <w:spacing w:after="0"/>
              <w:jc w:val="center"/>
              <w:rPr>
                <w:rFonts w:ascii="Calibri" w:eastAsia="Times New Roman" w:hAnsi="Calibri" w:cs="Calibri"/>
                <w:b/>
                <w:bCs/>
                <w:color w:val="000000"/>
                <w:sz w:val="16"/>
                <w:szCs w:val="16"/>
                <w:lang w:eastAsia="en-GB"/>
              </w:rPr>
            </w:pPr>
            <w:r w:rsidRPr="0004147E">
              <w:rPr>
                <w:rFonts w:ascii="Calibri" w:eastAsia="Times New Roman" w:hAnsi="Calibri" w:cs="Calibri"/>
                <w:b/>
                <w:bCs/>
                <w:color w:val="000000"/>
                <w:sz w:val="16"/>
                <w:szCs w:val="16"/>
                <w:lang w:eastAsia="en-GB"/>
              </w:rPr>
              <w:t xml:space="preserve">Google - WM </w:t>
            </w:r>
          </w:p>
        </w:tc>
        <w:tc>
          <w:tcPr>
            <w:tcW w:w="766" w:type="dxa"/>
            <w:tcBorders>
              <w:top w:val="single" w:sz="4" w:space="0" w:color="auto"/>
              <w:left w:val="nil"/>
              <w:bottom w:val="single" w:sz="4" w:space="0" w:color="auto"/>
              <w:right w:val="single" w:sz="4" w:space="0" w:color="auto"/>
            </w:tcBorders>
            <w:shd w:val="clear" w:color="000000" w:fill="FFFFFF"/>
            <w:noWrap/>
            <w:vAlign w:val="bottom"/>
            <w:hideMark/>
          </w:tcPr>
          <w:p w14:paraId="1D48D0E4" w14:textId="77777777" w:rsidR="0004147E" w:rsidRPr="0004147E" w:rsidRDefault="0004147E" w:rsidP="0004147E">
            <w:pPr>
              <w:spacing w:after="0"/>
              <w:jc w:val="center"/>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Positive</w:t>
            </w:r>
          </w:p>
        </w:tc>
        <w:tc>
          <w:tcPr>
            <w:tcW w:w="798" w:type="dxa"/>
            <w:tcBorders>
              <w:top w:val="single" w:sz="4" w:space="0" w:color="auto"/>
              <w:left w:val="nil"/>
              <w:bottom w:val="single" w:sz="4" w:space="0" w:color="auto"/>
              <w:right w:val="single" w:sz="4" w:space="0" w:color="auto"/>
            </w:tcBorders>
            <w:shd w:val="clear" w:color="000000" w:fill="FFFFFF"/>
            <w:noWrap/>
            <w:vAlign w:val="bottom"/>
            <w:hideMark/>
          </w:tcPr>
          <w:p w14:paraId="0D828D1A" w14:textId="77777777" w:rsidR="0004147E" w:rsidRPr="0004147E" w:rsidRDefault="0004147E" w:rsidP="0004147E">
            <w:pPr>
              <w:spacing w:after="0"/>
              <w:jc w:val="center"/>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Negative</w:t>
            </w:r>
          </w:p>
        </w:tc>
      </w:tr>
      <w:tr w:rsidR="0004147E" w:rsidRPr="0004147E" w14:paraId="2B4EC5C4" w14:textId="77777777" w:rsidTr="0004147E">
        <w:trPr>
          <w:trHeight w:val="251"/>
        </w:trPr>
        <w:tc>
          <w:tcPr>
            <w:tcW w:w="1805" w:type="dxa"/>
            <w:tcBorders>
              <w:top w:val="nil"/>
              <w:left w:val="single" w:sz="4" w:space="0" w:color="auto"/>
              <w:bottom w:val="single" w:sz="4" w:space="0" w:color="auto"/>
              <w:right w:val="single" w:sz="4" w:space="0" w:color="auto"/>
            </w:tcBorders>
            <w:shd w:val="clear" w:color="000000" w:fill="FFFFFF"/>
            <w:noWrap/>
            <w:vAlign w:val="bottom"/>
            <w:hideMark/>
          </w:tcPr>
          <w:p w14:paraId="19EABF2E" w14:textId="77777777" w:rsidR="0004147E" w:rsidRPr="0004147E" w:rsidRDefault="0004147E" w:rsidP="0004147E">
            <w:pPr>
              <w:spacing w:after="0"/>
              <w:jc w:val="center"/>
              <w:rPr>
                <w:rFonts w:ascii="Calibri" w:eastAsia="Times New Roman" w:hAnsi="Calibri" w:cs="Calibri"/>
                <w:b/>
                <w:bCs/>
                <w:color w:val="000000"/>
                <w:sz w:val="16"/>
                <w:szCs w:val="16"/>
                <w:lang w:eastAsia="en-GB"/>
              </w:rPr>
            </w:pPr>
            <w:r w:rsidRPr="0004147E">
              <w:rPr>
                <w:rFonts w:ascii="Calibri" w:eastAsia="Times New Roman" w:hAnsi="Calibri" w:cs="Calibri"/>
                <w:b/>
                <w:bCs/>
                <w:color w:val="000000"/>
                <w:sz w:val="16"/>
                <w:szCs w:val="16"/>
                <w:lang w:eastAsia="en-GB"/>
              </w:rPr>
              <w:t>Access to treatment</w:t>
            </w:r>
          </w:p>
        </w:tc>
        <w:tc>
          <w:tcPr>
            <w:tcW w:w="766" w:type="dxa"/>
            <w:tcBorders>
              <w:top w:val="nil"/>
              <w:left w:val="nil"/>
              <w:bottom w:val="single" w:sz="4" w:space="0" w:color="auto"/>
              <w:right w:val="single" w:sz="4" w:space="0" w:color="auto"/>
            </w:tcBorders>
            <w:shd w:val="clear" w:color="000000" w:fill="FF0000"/>
            <w:noWrap/>
            <w:vAlign w:val="bottom"/>
            <w:hideMark/>
          </w:tcPr>
          <w:p w14:paraId="5DB51676"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36%</w:t>
            </w:r>
          </w:p>
        </w:tc>
        <w:tc>
          <w:tcPr>
            <w:tcW w:w="798" w:type="dxa"/>
            <w:tcBorders>
              <w:top w:val="nil"/>
              <w:left w:val="nil"/>
              <w:bottom w:val="single" w:sz="4" w:space="0" w:color="auto"/>
              <w:right w:val="single" w:sz="4" w:space="0" w:color="auto"/>
            </w:tcBorders>
            <w:shd w:val="clear" w:color="000000" w:fill="FF0000"/>
            <w:noWrap/>
            <w:vAlign w:val="bottom"/>
            <w:hideMark/>
          </w:tcPr>
          <w:p w14:paraId="072B830A"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64%</w:t>
            </w:r>
          </w:p>
        </w:tc>
      </w:tr>
      <w:tr w:rsidR="0004147E" w:rsidRPr="0004147E" w14:paraId="2007C828" w14:textId="77777777" w:rsidTr="0004147E">
        <w:trPr>
          <w:trHeight w:val="251"/>
        </w:trPr>
        <w:tc>
          <w:tcPr>
            <w:tcW w:w="1805" w:type="dxa"/>
            <w:tcBorders>
              <w:top w:val="nil"/>
              <w:left w:val="single" w:sz="4" w:space="0" w:color="auto"/>
              <w:bottom w:val="single" w:sz="4" w:space="0" w:color="auto"/>
              <w:right w:val="single" w:sz="4" w:space="0" w:color="auto"/>
            </w:tcBorders>
            <w:shd w:val="clear" w:color="000000" w:fill="FFFFFF"/>
            <w:noWrap/>
            <w:vAlign w:val="bottom"/>
            <w:hideMark/>
          </w:tcPr>
          <w:p w14:paraId="0805AD59" w14:textId="77777777" w:rsidR="0004147E" w:rsidRPr="0004147E" w:rsidRDefault="0004147E" w:rsidP="0004147E">
            <w:pPr>
              <w:spacing w:after="0"/>
              <w:jc w:val="center"/>
              <w:rPr>
                <w:rFonts w:ascii="Calibri" w:eastAsia="Times New Roman" w:hAnsi="Calibri" w:cs="Calibri"/>
                <w:b/>
                <w:bCs/>
                <w:color w:val="000000"/>
                <w:sz w:val="16"/>
                <w:szCs w:val="16"/>
                <w:lang w:eastAsia="en-GB"/>
              </w:rPr>
            </w:pPr>
            <w:r w:rsidRPr="0004147E">
              <w:rPr>
                <w:rFonts w:ascii="Calibri" w:eastAsia="Times New Roman" w:hAnsi="Calibri" w:cs="Calibri"/>
                <w:b/>
                <w:bCs/>
                <w:color w:val="000000"/>
                <w:sz w:val="16"/>
                <w:szCs w:val="16"/>
                <w:lang w:eastAsia="en-GB"/>
              </w:rPr>
              <w:t>Appointments</w:t>
            </w:r>
          </w:p>
        </w:tc>
        <w:tc>
          <w:tcPr>
            <w:tcW w:w="766" w:type="dxa"/>
            <w:tcBorders>
              <w:top w:val="nil"/>
              <w:left w:val="nil"/>
              <w:bottom w:val="single" w:sz="4" w:space="0" w:color="auto"/>
              <w:right w:val="single" w:sz="4" w:space="0" w:color="auto"/>
            </w:tcBorders>
            <w:shd w:val="clear" w:color="000000" w:fill="FF0000"/>
            <w:noWrap/>
            <w:vAlign w:val="bottom"/>
            <w:hideMark/>
          </w:tcPr>
          <w:p w14:paraId="5CD7EB33"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25%</w:t>
            </w:r>
          </w:p>
        </w:tc>
        <w:tc>
          <w:tcPr>
            <w:tcW w:w="798" w:type="dxa"/>
            <w:tcBorders>
              <w:top w:val="nil"/>
              <w:left w:val="nil"/>
              <w:bottom w:val="single" w:sz="4" w:space="0" w:color="auto"/>
              <w:right w:val="single" w:sz="4" w:space="0" w:color="auto"/>
            </w:tcBorders>
            <w:shd w:val="clear" w:color="000000" w:fill="FF0000"/>
            <w:noWrap/>
            <w:vAlign w:val="bottom"/>
            <w:hideMark/>
          </w:tcPr>
          <w:p w14:paraId="6266E263"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75%</w:t>
            </w:r>
          </w:p>
        </w:tc>
      </w:tr>
      <w:tr w:rsidR="0004147E" w:rsidRPr="0004147E" w14:paraId="47CF6FC2" w14:textId="77777777" w:rsidTr="0004147E">
        <w:trPr>
          <w:trHeight w:val="251"/>
        </w:trPr>
        <w:tc>
          <w:tcPr>
            <w:tcW w:w="1805" w:type="dxa"/>
            <w:tcBorders>
              <w:top w:val="nil"/>
              <w:left w:val="single" w:sz="4" w:space="0" w:color="auto"/>
              <w:bottom w:val="single" w:sz="4" w:space="0" w:color="auto"/>
              <w:right w:val="single" w:sz="4" w:space="0" w:color="auto"/>
            </w:tcBorders>
            <w:shd w:val="clear" w:color="000000" w:fill="FFFFFF"/>
            <w:noWrap/>
            <w:vAlign w:val="bottom"/>
            <w:hideMark/>
          </w:tcPr>
          <w:p w14:paraId="6596785A" w14:textId="77777777" w:rsidR="0004147E" w:rsidRPr="0004147E" w:rsidRDefault="0004147E" w:rsidP="0004147E">
            <w:pPr>
              <w:spacing w:after="0"/>
              <w:jc w:val="center"/>
              <w:rPr>
                <w:rFonts w:ascii="Calibri" w:eastAsia="Times New Roman" w:hAnsi="Calibri" w:cs="Calibri"/>
                <w:b/>
                <w:bCs/>
                <w:color w:val="000000"/>
                <w:sz w:val="16"/>
                <w:szCs w:val="16"/>
                <w:lang w:eastAsia="en-GB"/>
              </w:rPr>
            </w:pPr>
            <w:r w:rsidRPr="0004147E">
              <w:rPr>
                <w:rFonts w:ascii="Calibri" w:eastAsia="Times New Roman" w:hAnsi="Calibri" w:cs="Calibri"/>
                <w:b/>
                <w:bCs/>
                <w:color w:val="000000"/>
                <w:sz w:val="16"/>
                <w:szCs w:val="16"/>
                <w:lang w:eastAsia="en-GB"/>
              </w:rPr>
              <w:t>Clinical treatment</w:t>
            </w:r>
          </w:p>
        </w:tc>
        <w:tc>
          <w:tcPr>
            <w:tcW w:w="766" w:type="dxa"/>
            <w:tcBorders>
              <w:top w:val="nil"/>
              <w:left w:val="nil"/>
              <w:bottom w:val="single" w:sz="4" w:space="0" w:color="auto"/>
              <w:right w:val="single" w:sz="4" w:space="0" w:color="auto"/>
            </w:tcBorders>
            <w:shd w:val="clear" w:color="000000" w:fill="FFC000"/>
            <w:noWrap/>
            <w:vAlign w:val="bottom"/>
            <w:hideMark/>
          </w:tcPr>
          <w:p w14:paraId="5893FC05"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68%</w:t>
            </w:r>
          </w:p>
        </w:tc>
        <w:tc>
          <w:tcPr>
            <w:tcW w:w="798" w:type="dxa"/>
            <w:tcBorders>
              <w:top w:val="nil"/>
              <w:left w:val="nil"/>
              <w:bottom w:val="single" w:sz="4" w:space="0" w:color="auto"/>
              <w:right w:val="single" w:sz="4" w:space="0" w:color="auto"/>
            </w:tcBorders>
            <w:shd w:val="clear" w:color="000000" w:fill="FFC000"/>
            <w:noWrap/>
            <w:vAlign w:val="bottom"/>
            <w:hideMark/>
          </w:tcPr>
          <w:p w14:paraId="4038382A"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32%</w:t>
            </w:r>
          </w:p>
        </w:tc>
      </w:tr>
      <w:tr w:rsidR="0004147E" w:rsidRPr="0004147E" w14:paraId="27DB9F4D" w14:textId="77777777" w:rsidTr="0004147E">
        <w:trPr>
          <w:trHeight w:val="251"/>
        </w:trPr>
        <w:tc>
          <w:tcPr>
            <w:tcW w:w="1805" w:type="dxa"/>
            <w:tcBorders>
              <w:top w:val="nil"/>
              <w:left w:val="single" w:sz="4" w:space="0" w:color="auto"/>
              <w:bottom w:val="single" w:sz="4" w:space="0" w:color="auto"/>
              <w:right w:val="single" w:sz="4" w:space="0" w:color="auto"/>
            </w:tcBorders>
            <w:shd w:val="clear" w:color="000000" w:fill="FFFFFF"/>
            <w:noWrap/>
            <w:vAlign w:val="bottom"/>
            <w:hideMark/>
          </w:tcPr>
          <w:p w14:paraId="7BFF50C5" w14:textId="77777777" w:rsidR="0004147E" w:rsidRPr="0004147E" w:rsidRDefault="0004147E" w:rsidP="0004147E">
            <w:pPr>
              <w:spacing w:after="0"/>
              <w:jc w:val="center"/>
              <w:rPr>
                <w:rFonts w:ascii="Calibri" w:eastAsia="Times New Roman" w:hAnsi="Calibri" w:cs="Calibri"/>
                <w:b/>
                <w:bCs/>
                <w:color w:val="000000"/>
                <w:sz w:val="16"/>
                <w:szCs w:val="16"/>
                <w:lang w:eastAsia="en-GB"/>
              </w:rPr>
            </w:pPr>
            <w:r w:rsidRPr="0004147E">
              <w:rPr>
                <w:rFonts w:ascii="Calibri" w:eastAsia="Times New Roman" w:hAnsi="Calibri" w:cs="Calibri"/>
                <w:b/>
                <w:bCs/>
                <w:color w:val="000000"/>
                <w:sz w:val="16"/>
                <w:szCs w:val="16"/>
                <w:lang w:eastAsia="en-GB"/>
              </w:rPr>
              <w:t>Communication</w:t>
            </w:r>
          </w:p>
        </w:tc>
        <w:tc>
          <w:tcPr>
            <w:tcW w:w="766" w:type="dxa"/>
            <w:tcBorders>
              <w:top w:val="nil"/>
              <w:left w:val="nil"/>
              <w:bottom w:val="single" w:sz="4" w:space="0" w:color="auto"/>
              <w:right w:val="single" w:sz="4" w:space="0" w:color="auto"/>
            </w:tcBorders>
            <w:shd w:val="clear" w:color="000000" w:fill="FF0000"/>
            <w:noWrap/>
            <w:vAlign w:val="bottom"/>
            <w:hideMark/>
          </w:tcPr>
          <w:p w14:paraId="0CCA99F8"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12%</w:t>
            </w:r>
          </w:p>
        </w:tc>
        <w:tc>
          <w:tcPr>
            <w:tcW w:w="798" w:type="dxa"/>
            <w:tcBorders>
              <w:top w:val="nil"/>
              <w:left w:val="nil"/>
              <w:bottom w:val="single" w:sz="4" w:space="0" w:color="auto"/>
              <w:right w:val="single" w:sz="4" w:space="0" w:color="auto"/>
            </w:tcBorders>
            <w:shd w:val="clear" w:color="000000" w:fill="FF0000"/>
            <w:noWrap/>
            <w:vAlign w:val="bottom"/>
            <w:hideMark/>
          </w:tcPr>
          <w:p w14:paraId="53817112"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88%</w:t>
            </w:r>
          </w:p>
        </w:tc>
      </w:tr>
      <w:tr w:rsidR="0004147E" w:rsidRPr="0004147E" w14:paraId="0595040B" w14:textId="77777777" w:rsidTr="0004147E">
        <w:trPr>
          <w:trHeight w:val="251"/>
        </w:trPr>
        <w:tc>
          <w:tcPr>
            <w:tcW w:w="1805" w:type="dxa"/>
            <w:tcBorders>
              <w:top w:val="nil"/>
              <w:left w:val="single" w:sz="4" w:space="0" w:color="auto"/>
              <w:bottom w:val="single" w:sz="4" w:space="0" w:color="auto"/>
              <w:right w:val="single" w:sz="4" w:space="0" w:color="auto"/>
            </w:tcBorders>
            <w:shd w:val="clear" w:color="000000" w:fill="FFFFFF"/>
            <w:noWrap/>
            <w:vAlign w:val="bottom"/>
            <w:hideMark/>
          </w:tcPr>
          <w:p w14:paraId="2F7B05B2" w14:textId="77777777" w:rsidR="0004147E" w:rsidRPr="0004147E" w:rsidRDefault="0004147E" w:rsidP="0004147E">
            <w:pPr>
              <w:spacing w:after="0"/>
              <w:jc w:val="center"/>
              <w:rPr>
                <w:rFonts w:ascii="Calibri" w:eastAsia="Times New Roman" w:hAnsi="Calibri" w:cs="Calibri"/>
                <w:b/>
                <w:bCs/>
                <w:color w:val="000000"/>
                <w:sz w:val="16"/>
                <w:szCs w:val="16"/>
                <w:lang w:eastAsia="en-GB"/>
              </w:rPr>
            </w:pPr>
            <w:r w:rsidRPr="0004147E">
              <w:rPr>
                <w:rFonts w:ascii="Calibri" w:eastAsia="Times New Roman" w:hAnsi="Calibri" w:cs="Calibri"/>
                <w:b/>
                <w:bCs/>
                <w:color w:val="000000"/>
                <w:sz w:val="16"/>
                <w:szCs w:val="16"/>
                <w:lang w:eastAsia="en-GB"/>
              </w:rPr>
              <w:t>Privacy and dignity</w:t>
            </w:r>
          </w:p>
        </w:tc>
        <w:tc>
          <w:tcPr>
            <w:tcW w:w="766" w:type="dxa"/>
            <w:tcBorders>
              <w:top w:val="nil"/>
              <w:left w:val="nil"/>
              <w:bottom w:val="single" w:sz="4" w:space="0" w:color="auto"/>
              <w:right w:val="single" w:sz="4" w:space="0" w:color="auto"/>
            </w:tcBorders>
            <w:shd w:val="clear" w:color="000000" w:fill="FFC000"/>
            <w:noWrap/>
            <w:vAlign w:val="bottom"/>
            <w:hideMark/>
          </w:tcPr>
          <w:p w14:paraId="1D964466"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50%</w:t>
            </w:r>
          </w:p>
        </w:tc>
        <w:tc>
          <w:tcPr>
            <w:tcW w:w="798" w:type="dxa"/>
            <w:tcBorders>
              <w:top w:val="nil"/>
              <w:left w:val="nil"/>
              <w:bottom w:val="single" w:sz="4" w:space="0" w:color="auto"/>
              <w:right w:val="single" w:sz="4" w:space="0" w:color="auto"/>
            </w:tcBorders>
            <w:shd w:val="clear" w:color="000000" w:fill="FFC000"/>
            <w:noWrap/>
            <w:vAlign w:val="bottom"/>
            <w:hideMark/>
          </w:tcPr>
          <w:p w14:paraId="28CAC284"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50%</w:t>
            </w:r>
          </w:p>
        </w:tc>
      </w:tr>
      <w:tr w:rsidR="0004147E" w:rsidRPr="0004147E" w14:paraId="5EF3FC88" w14:textId="77777777" w:rsidTr="0004147E">
        <w:trPr>
          <w:trHeight w:val="251"/>
        </w:trPr>
        <w:tc>
          <w:tcPr>
            <w:tcW w:w="1805" w:type="dxa"/>
            <w:tcBorders>
              <w:top w:val="nil"/>
              <w:left w:val="single" w:sz="4" w:space="0" w:color="auto"/>
              <w:bottom w:val="single" w:sz="4" w:space="0" w:color="auto"/>
              <w:right w:val="single" w:sz="4" w:space="0" w:color="auto"/>
            </w:tcBorders>
            <w:shd w:val="clear" w:color="000000" w:fill="FFFFFF"/>
            <w:noWrap/>
            <w:vAlign w:val="bottom"/>
            <w:hideMark/>
          </w:tcPr>
          <w:p w14:paraId="40C8D56A" w14:textId="77777777" w:rsidR="0004147E" w:rsidRPr="0004147E" w:rsidRDefault="0004147E" w:rsidP="0004147E">
            <w:pPr>
              <w:spacing w:after="0"/>
              <w:jc w:val="center"/>
              <w:rPr>
                <w:rFonts w:ascii="Calibri" w:eastAsia="Times New Roman" w:hAnsi="Calibri" w:cs="Calibri"/>
                <w:b/>
                <w:bCs/>
                <w:color w:val="000000"/>
                <w:sz w:val="16"/>
                <w:szCs w:val="16"/>
                <w:lang w:eastAsia="en-GB"/>
              </w:rPr>
            </w:pPr>
            <w:r w:rsidRPr="0004147E">
              <w:rPr>
                <w:rFonts w:ascii="Calibri" w:eastAsia="Times New Roman" w:hAnsi="Calibri" w:cs="Calibri"/>
                <w:b/>
                <w:bCs/>
                <w:color w:val="000000"/>
                <w:sz w:val="16"/>
                <w:szCs w:val="16"/>
                <w:lang w:eastAsia="en-GB"/>
              </w:rPr>
              <w:t>Patient care</w:t>
            </w:r>
          </w:p>
        </w:tc>
        <w:tc>
          <w:tcPr>
            <w:tcW w:w="766" w:type="dxa"/>
            <w:tcBorders>
              <w:top w:val="nil"/>
              <w:left w:val="nil"/>
              <w:bottom w:val="single" w:sz="4" w:space="0" w:color="auto"/>
              <w:right w:val="single" w:sz="4" w:space="0" w:color="auto"/>
            </w:tcBorders>
            <w:shd w:val="clear" w:color="000000" w:fill="FFC000"/>
            <w:noWrap/>
            <w:vAlign w:val="bottom"/>
            <w:hideMark/>
          </w:tcPr>
          <w:p w14:paraId="73B01EEB"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60%</w:t>
            </w:r>
          </w:p>
        </w:tc>
        <w:tc>
          <w:tcPr>
            <w:tcW w:w="798" w:type="dxa"/>
            <w:tcBorders>
              <w:top w:val="nil"/>
              <w:left w:val="nil"/>
              <w:bottom w:val="single" w:sz="4" w:space="0" w:color="auto"/>
              <w:right w:val="single" w:sz="4" w:space="0" w:color="auto"/>
            </w:tcBorders>
            <w:shd w:val="clear" w:color="000000" w:fill="FFC000"/>
            <w:noWrap/>
            <w:vAlign w:val="bottom"/>
            <w:hideMark/>
          </w:tcPr>
          <w:p w14:paraId="469F0E4A"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40%</w:t>
            </w:r>
          </w:p>
        </w:tc>
      </w:tr>
      <w:tr w:rsidR="0004147E" w:rsidRPr="0004147E" w14:paraId="5A6FD08C" w14:textId="77777777" w:rsidTr="0004147E">
        <w:trPr>
          <w:trHeight w:val="251"/>
        </w:trPr>
        <w:tc>
          <w:tcPr>
            <w:tcW w:w="1805" w:type="dxa"/>
            <w:tcBorders>
              <w:top w:val="nil"/>
              <w:left w:val="single" w:sz="4" w:space="0" w:color="auto"/>
              <w:bottom w:val="single" w:sz="4" w:space="0" w:color="auto"/>
              <w:right w:val="single" w:sz="4" w:space="0" w:color="auto"/>
            </w:tcBorders>
            <w:shd w:val="clear" w:color="000000" w:fill="FFFFFF"/>
            <w:noWrap/>
            <w:vAlign w:val="bottom"/>
            <w:hideMark/>
          </w:tcPr>
          <w:p w14:paraId="512BCA77" w14:textId="77777777" w:rsidR="0004147E" w:rsidRPr="0004147E" w:rsidRDefault="0004147E" w:rsidP="0004147E">
            <w:pPr>
              <w:spacing w:after="0"/>
              <w:jc w:val="center"/>
              <w:rPr>
                <w:rFonts w:ascii="Calibri" w:eastAsia="Times New Roman" w:hAnsi="Calibri" w:cs="Calibri"/>
                <w:b/>
                <w:bCs/>
                <w:color w:val="000000"/>
                <w:sz w:val="16"/>
                <w:szCs w:val="16"/>
                <w:lang w:eastAsia="en-GB"/>
              </w:rPr>
            </w:pPr>
            <w:r w:rsidRPr="0004147E">
              <w:rPr>
                <w:rFonts w:ascii="Calibri" w:eastAsia="Times New Roman" w:hAnsi="Calibri" w:cs="Calibri"/>
                <w:b/>
                <w:bCs/>
                <w:color w:val="000000"/>
                <w:sz w:val="16"/>
                <w:szCs w:val="16"/>
                <w:lang w:eastAsia="en-GB"/>
              </w:rPr>
              <w:t>Staff attitude</w:t>
            </w:r>
          </w:p>
        </w:tc>
        <w:tc>
          <w:tcPr>
            <w:tcW w:w="766" w:type="dxa"/>
            <w:tcBorders>
              <w:top w:val="nil"/>
              <w:left w:val="nil"/>
              <w:bottom w:val="single" w:sz="4" w:space="0" w:color="auto"/>
              <w:right w:val="single" w:sz="4" w:space="0" w:color="auto"/>
            </w:tcBorders>
            <w:shd w:val="clear" w:color="000000" w:fill="FF0000"/>
            <w:noWrap/>
            <w:vAlign w:val="bottom"/>
            <w:hideMark/>
          </w:tcPr>
          <w:p w14:paraId="18032800"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49%</w:t>
            </w:r>
          </w:p>
        </w:tc>
        <w:tc>
          <w:tcPr>
            <w:tcW w:w="798" w:type="dxa"/>
            <w:tcBorders>
              <w:top w:val="nil"/>
              <w:left w:val="nil"/>
              <w:bottom w:val="single" w:sz="4" w:space="0" w:color="auto"/>
              <w:right w:val="single" w:sz="4" w:space="0" w:color="auto"/>
            </w:tcBorders>
            <w:shd w:val="clear" w:color="000000" w:fill="FF0000"/>
            <w:noWrap/>
            <w:vAlign w:val="bottom"/>
            <w:hideMark/>
          </w:tcPr>
          <w:p w14:paraId="4C2249A3"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51%</w:t>
            </w:r>
          </w:p>
        </w:tc>
      </w:tr>
      <w:tr w:rsidR="0004147E" w:rsidRPr="0004147E" w14:paraId="57260244" w14:textId="77777777" w:rsidTr="0004147E">
        <w:trPr>
          <w:trHeight w:val="251"/>
        </w:trPr>
        <w:tc>
          <w:tcPr>
            <w:tcW w:w="1805" w:type="dxa"/>
            <w:tcBorders>
              <w:top w:val="nil"/>
              <w:left w:val="single" w:sz="4" w:space="0" w:color="auto"/>
              <w:bottom w:val="single" w:sz="4" w:space="0" w:color="auto"/>
              <w:right w:val="single" w:sz="4" w:space="0" w:color="auto"/>
            </w:tcBorders>
            <w:shd w:val="clear" w:color="000000" w:fill="FFFFFF"/>
            <w:noWrap/>
            <w:vAlign w:val="bottom"/>
            <w:hideMark/>
          </w:tcPr>
          <w:p w14:paraId="0EA07F00" w14:textId="77777777" w:rsidR="0004147E" w:rsidRPr="0004147E" w:rsidRDefault="0004147E" w:rsidP="0004147E">
            <w:pPr>
              <w:spacing w:after="0"/>
              <w:jc w:val="center"/>
              <w:rPr>
                <w:rFonts w:ascii="Calibri" w:eastAsia="Times New Roman" w:hAnsi="Calibri" w:cs="Calibri"/>
                <w:b/>
                <w:bCs/>
                <w:color w:val="000000"/>
                <w:sz w:val="16"/>
                <w:szCs w:val="16"/>
                <w:lang w:eastAsia="en-GB"/>
              </w:rPr>
            </w:pPr>
            <w:r w:rsidRPr="0004147E">
              <w:rPr>
                <w:rFonts w:ascii="Calibri" w:eastAsia="Times New Roman" w:hAnsi="Calibri" w:cs="Calibri"/>
                <w:b/>
                <w:bCs/>
                <w:color w:val="000000"/>
                <w:sz w:val="16"/>
                <w:szCs w:val="16"/>
                <w:lang w:eastAsia="en-GB"/>
              </w:rPr>
              <w:t>Environment</w:t>
            </w:r>
          </w:p>
        </w:tc>
        <w:tc>
          <w:tcPr>
            <w:tcW w:w="766" w:type="dxa"/>
            <w:tcBorders>
              <w:top w:val="nil"/>
              <w:left w:val="nil"/>
              <w:bottom w:val="single" w:sz="4" w:space="0" w:color="auto"/>
              <w:right w:val="single" w:sz="4" w:space="0" w:color="auto"/>
            </w:tcBorders>
            <w:shd w:val="clear" w:color="000000" w:fill="FF0000"/>
            <w:noWrap/>
            <w:vAlign w:val="bottom"/>
            <w:hideMark/>
          </w:tcPr>
          <w:p w14:paraId="3E34EB4E"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25%</w:t>
            </w:r>
          </w:p>
        </w:tc>
        <w:tc>
          <w:tcPr>
            <w:tcW w:w="798" w:type="dxa"/>
            <w:tcBorders>
              <w:top w:val="nil"/>
              <w:left w:val="nil"/>
              <w:bottom w:val="single" w:sz="4" w:space="0" w:color="auto"/>
              <w:right w:val="single" w:sz="4" w:space="0" w:color="auto"/>
            </w:tcBorders>
            <w:shd w:val="clear" w:color="000000" w:fill="FF0000"/>
            <w:noWrap/>
            <w:vAlign w:val="bottom"/>
            <w:hideMark/>
          </w:tcPr>
          <w:p w14:paraId="0F33F40B"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75%</w:t>
            </w:r>
          </w:p>
        </w:tc>
      </w:tr>
      <w:tr w:rsidR="0004147E" w:rsidRPr="0004147E" w14:paraId="7B29C518" w14:textId="77777777" w:rsidTr="0004147E">
        <w:trPr>
          <w:trHeight w:val="251"/>
        </w:trPr>
        <w:tc>
          <w:tcPr>
            <w:tcW w:w="1805" w:type="dxa"/>
            <w:tcBorders>
              <w:top w:val="nil"/>
              <w:left w:val="single" w:sz="4" w:space="0" w:color="auto"/>
              <w:bottom w:val="single" w:sz="4" w:space="0" w:color="auto"/>
              <w:right w:val="single" w:sz="4" w:space="0" w:color="auto"/>
            </w:tcBorders>
            <w:shd w:val="clear" w:color="000000" w:fill="FFFFFF"/>
            <w:noWrap/>
            <w:vAlign w:val="bottom"/>
            <w:hideMark/>
          </w:tcPr>
          <w:p w14:paraId="6831D45A" w14:textId="77777777" w:rsidR="0004147E" w:rsidRPr="0004147E" w:rsidRDefault="0004147E" w:rsidP="0004147E">
            <w:pPr>
              <w:spacing w:after="0"/>
              <w:jc w:val="center"/>
              <w:rPr>
                <w:rFonts w:ascii="Calibri" w:eastAsia="Times New Roman" w:hAnsi="Calibri" w:cs="Calibri"/>
                <w:b/>
                <w:bCs/>
                <w:color w:val="000000"/>
                <w:sz w:val="16"/>
                <w:szCs w:val="16"/>
                <w:lang w:eastAsia="en-GB"/>
              </w:rPr>
            </w:pPr>
            <w:r w:rsidRPr="0004147E">
              <w:rPr>
                <w:rFonts w:ascii="Calibri" w:eastAsia="Times New Roman" w:hAnsi="Calibri" w:cs="Calibri"/>
                <w:b/>
                <w:bCs/>
                <w:color w:val="000000"/>
                <w:sz w:val="16"/>
                <w:szCs w:val="16"/>
                <w:lang w:eastAsia="en-GB"/>
              </w:rPr>
              <w:t>Waiting times</w:t>
            </w:r>
          </w:p>
        </w:tc>
        <w:tc>
          <w:tcPr>
            <w:tcW w:w="766" w:type="dxa"/>
            <w:tcBorders>
              <w:top w:val="nil"/>
              <w:left w:val="nil"/>
              <w:bottom w:val="single" w:sz="4" w:space="0" w:color="auto"/>
              <w:right w:val="single" w:sz="4" w:space="0" w:color="auto"/>
            </w:tcBorders>
            <w:shd w:val="clear" w:color="000000" w:fill="FF0000"/>
            <w:noWrap/>
            <w:vAlign w:val="bottom"/>
            <w:hideMark/>
          </w:tcPr>
          <w:p w14:paraId="5AAC5EE1"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7%</w:t>
            </w:r>
          </w:p>
        </w:tc>
        <w:tc>
          <w:tcPr>
            <w:tcW w:w="798" w:type="dxa"/>
            <w:tcBorders>
              <w:top w:val="nil"/>
              <w:left w:val="nil"/>
              <w:bottom w:val="single" w:sz="4" w:space="0" w:color="auto"/>
              <w:right w:val="single" w:sz="4" w:space="0" w:color="auto"/>
            </w:tcBorders>
            <w:shd w:val="clear" w:color="000000" w:fill="FF0000"/>
            <w:noWrap/>
            <w:vAlign w:val="bottom"/>
            <w:hideMark/>
          </w:tcPr>
          <w:p w14:paraId="21C0C3F1" w14:textId="77777777" w:rsidR="0004147E" w:rsidRPr="0004147E" w:rsidRDefault="0004147E" w:rsidP="0004147E">
            <w:pPr>
              <w:spacing w:after="0"/>
              <w:jc w:val="right"/>
              <w:rPr>
                <w:rFonts w:ascii="Calibri" w:eastAsia="Times New Roman" w:hAnsi="Calibri" w:cs="Calibri"/>
                <w:color w:val="000000"/>
                <w:sz w:val="16"/>
                <w:szCs w:val="16"/>
                <w:lang w:eastAsia="en-GB"/>
              </w:rPr>
            </w:pPr>
            <w:r w:rsidRPr="0004147E">
              <w:rPr>
                <w:rFonts w:ascii="Calibri" w:eastAsia="Times New Roman" w:hAnsi="Calibri" w:cs="Calibri"/>
                <w:color w:val="000000"/>
                <w:sz w:val="16"/>
                <w:szCs w:val="16"/>
                <w:lang w:eastAsia="en-GB"/>
              </w:rPr>
              <w:t>93%</w:t>
            </w:r>
          </w:p>
        </w:tc>
      </w:tr>
    </w:tbl>
    <w:p w14:paraId="02830154" w14:textId="454161E6" w:rsidR="00D442DD" w:rsidRDefault="0043188A" w:rsidP="00EC01A8">
      <w:pPr>
        <w:spacing w:after="200" w:line="276" w:lineRule="auto"/>
        <w:rPr>
          <w:rFonts w:cs="Arial"/>
          <w:b/>
          <w:noProof/>
          <w:szCs w:val="22"/>
          <w:lang w:eastAsia="en-GB"/>
        </w:rPr>
      </w:pPr>
      <w:r w:rsidRPr="0043188A">
        <w:rPr>
          <w:rFonts w:cs="Arial"/>
          <w:b/>
          <w:noProof/>
          <w:szCs w:val="22"/>
          <w:lang w:eastAsia="en-GB"/>
        </w:rPr>
        <w:t>14. Other Feedback</w:t>
      </w:r>
    </w:p>
    <w:p w14:paraId="78558254" w14:textId="3F35859D" w:rsidR="0004147E" w:rsidRDefault="0004147E" w:rsidP="004B328D">
      <w:pPr>
        <w:spacing w:after="200" w:line="276" w:lineRule="auto"/>
        <w:jc w:val="both"/>
        <w:rPr>
          <w:rFonts w:cs="Arial"/>
          <w:b/>
          <w:noProof/>
          <w:szCs w:val="22"/>
          <w:lang w:eastAsia="en-GB"/>
        </w:rPr>
      </w:pPr>
    </w:p>
    <w:p w14:paraId="3FBA72E6" w14:textId="520E4AC2" w:rsidR="0004147E" w:rsidRPr="00387FD4" w:rsidRDefault="002C0F2A" w:rsidP="004B328D">
      <w:pPr>
        <w:pStyle w:val="ListParagraph"/>
        <w:numPr>
          <w:ilvl w:val="0"/>
          <w:numId w:val="5"/>
        </w:numPr>
        <w:jc w:val="both"/>
        <w:rPr>
          <w:rFonts w:cs="Arial"/>
          <w:sz w:val="22"/>
          <w:szCs w:val="22"/>
          <w:lang w:eastAsia="en-GB"/>
        </w:rPr>
      </w:pPr>
      <w:r w:rsidRPr="00387FD4">
        <w:rPr>
          <w:rFonts w:cs="Arial"/>
          <w:sz w:val="22"/>
          <w:szCs w:val="22"/>
          <w:lang w:eastAsia="en-GB"/>
        </w:rPr>
        <w:t xml:space="preserve">A total of 77 reviews have been left on CareOpinion </w:t>
      </w:r>
      <w:r w:rsidR="00387FD4">
        <w:rPr>
          <w:rFonts w:cs="Arial"/>
          <w:sz w:val="22"/>
          <w:szCs w:val="22"/>
          <w:lang w:eastAsia="en-GB"/>
        </w:rPr>
        <w:t>o</w:t>
      </w:r>
      <w:r w:rsidRPr="00387FD4">
        <w:rPr>
          <w:rFonts w:cs="Arial"/>
          <w:sz w:val="22"/>
          <w:szCs w:val="22"/>
          <w:lang w:eastAsia="en-GB"/>
        </w:rPr>
        <w:t xml:space="preserve">ver the 2023-24 period. 22% of the reviews relate to Chelsea and Westminster, 66% relate to West Middlesex Hospital. </w:t>
      </w:r>
      <w:r w:rsidR="00FD7ACA" w:rsidRPr="00387FD4">
        <w:rPr>
          <w:rFonts w:cs="Arial"/>
          <w:sz w:val="22"/>
          <w:szCs w:val="22"/>
          <w:lang w:eastAsia="en-GB"/>
        </w:rPr>
        <w:t>F</w:t>
      </w:r>
      <w:r w:rsidR="00387FD4">
        <w:rPr>
          <w:rFonts w:cs="Arial"/>
          <w:sz w:val="22"/>
          <w:szCs w:val="22"/>
          <w:lang w:eastAsia="en-GB"/>
        </w:rPr>
        <w:t xml:space="preserve">eedback </w:t>
      </w:r>
      <w:r w:rsidR="00FD7ACA" w:rsidRPr="00387FD4">
        <w:rPr>
          <w:rFonts w:cs="Arial"/>
          <w:sz w:val="22"/>
          <w:szCs w:val="22"/>
          <w:lang w:eastAsia="en-GB"/>
        </w:rPr>
        <w:t xml:space="preserve">is seen across all </w:t>
      </w:r>
      <w:r w:rsidR="00387FD4">
        <w:rPr>
          <w:rFonts w:cs="Arial"/>
          <w:sz w:val="22"/>
          <w:szCs w:val="22"/>
          <w:lang w:eastAsia="en-GB"/>
        </w:rPr>
        <w:t xml:space="preserve">four </w:t>
      </w:r>
      <w:r w:rsidR="00FD7ACA" w:rsidRPr="00387FD4">
        <w:rPr>
          <w:rFonts w:cs="Arial"/>
          <w:sz w:val="22"/>
          <w:szCs w:val="22"/>
          <w:lang w:eastAsia="en-GB"/>
        </w:rPr>
        <w:t>services – A&amp;E, Maternity, Inpatients and Outpatients. Although a percentage of reviews are submitted without a specific site location. All feedback is responded to and patients/writers are given the opportunity to discuss their experience</w:t>
      </w:r>
      <w:r w:rsidR="00387FD4">
        <w:rPr>
          <w:rFonts w:cs="Arial"/>
          <w:sz w:val="22"/>
          <w:szCs w:val="22"/>
          <w:lang w:eastAsia="en-GB"/>
        </w:rPr>
        <w:t xml:space="preserve"> further</w:t>
      </w:r>
      <w:r w:rsidR="00FD7ACA" w:rsidRPr="00387FD4">
        <w:rPr>
          <w:rFonts w:cs="Arial"/>
          <w:sz w:val="22"/>
          <w:szCs w:val="22"/>
          <w:lang w:eastAsia="en-GB"/>
        </w:rPr>
        <w:t xml:space="preserve"> with the Patient Experience team or PALS. </w:t>
      </w:r>
    </w:p>
    <w:p w14:paraId="013FDF90" w14:textId="7C8AFBC0" w:rsidR="00DB4F59" w:rsidRPr="00387FD4" w:rsidRDefault="00DB4F59" w:rsidP="004B328D">
      <w:pPr>
        <w:pStyle w:val="ListParagraph"/>
        <w:jc w:val="both"/>
        <w:rPr>
          <w:rFonts w:cs="Arial"/>
          <w:sz w:val="22"/>
          <w:szCs w:val="22"/>
          <w:lang w:eastAsia="en-GB"/>
        </w:rPr>
      </w:pPr>
    </w:p>
    <w:p w14:paraId="68FD7FC2" w14:textId="77777777" w:rsidR="00DA4921" w:rsidRDefault="00DB4F59" w:rsidP="004B328D">
      <w:pPr>
        <w:pStyle w:val="ListParagraph"/>
        <w:numPr>
          <w:ilvl w:val="0"/>
          <w:numId w:val="5"/>
        </w:numPr>
        <w:jc w:val="both"/>
        <w:rPr>
          <w:rFonts w:cs="Arial"/>
          <w:sz w:val="22"/>
          <w:szCs w:val="22"/>
          <w:lang w:eastAsia="en-GB"/>
        </w:rPr>
      </w:pPr>
      <w:r w:rsidRPr="00387FD4">
        <w:rPr>
          <w:rFonts w:cs="Arial"/>
          <w:sz w:val="22"/>
          <w:szCs w:val="22"/>
          <w:lang w:eastAsia="en-GB"/>
        </w:rPr>
        <w:t xml:space="preserve">66 reviews were left for Chelsea on Google reviews platform.168 reviews were left on West Middlesex Google review platform over the last financial year. </w:t>
      </w:r>
      <w:r w:rsidR="00387FD4">
        <w:rPr>
          <w:rFonts w:cs="Arial"/>
          <w:sz w:val="22"/>
          <w:szCs w:val="22"/>
          <w:lang w:eastAsia="en-GB"/>
        </w:rPr>
        <w:t>C</w:t>
      </w:r>
      <w:r w:rsidR="00FD7ACA" w:rsidRPr="00387FD4">
        <w:rPr>
          <w:rFonts w:cs="Arial"/>
          <w:sz w:val="22"/>
          <w:szCs w:val="22"/>
          <w:lang w:eastAsia="en-GB"/>
        </w:rPr>
        <w:t>hallenges</w:t>
      </w:r>
      <w:r w:rsidR="00387FD4">
        <w:rPr>
          <w:rFonts w:cs="Arial"/>
          <w:sz w:val="22"/>
          <w:szCs w:val="22"/>
          <w:lang w:eastAsia="en-GB"/>
        </w:rPr>
        <w:t xml:space="preserve"> continue</w:t>
      </w:r>
      <w:r w:rsidR="00FD7ACA" w:rsidRPr="00387FD4">
        <w:rPr>
          <w:rFonts w:cs="Arial"/>
          <w:sz w:val="22"/>
          <w:szCs w:val="22"/>
          <w:lang w:eastAsia="en-GB"/>
        </w:rPr>
        <w:t xml:space="preserve"> due to a fraction of the reviews </w:t>
      </w:r>
      <w:r w:rsidR="00387FD4">
        <w:rPr>
          <w:rFonts w:cs="Arial"/>
          <w:sz w:val="22"/>
          <w:szCs w:val="22"/>
          <w:lang w:eastAsia="en-GB"/>
        </w:rPr>
        <w:t>lacking information,</w:t>
      </w:r>
      <w:r w:rsidR="00FD7ACA" w:rsidRPr="00387FD4">
        <w:rPr>
          <w:rFonts w:cs="Arial"/>
          <w:sz w:val="22"/>
          <w:szCs w:val="22"/>
          <w:lang w:eastAsia="en-GB"/>
        </w:rPr>
        <w:t xml:space="preserve"> having one star ratings without any feedback. The table above shows continuous themes that mirror across other platforms. </w:t>
      </w:r>
    </w:p>
    <w:p w14:paraId="01FFC6E3" w14:textId="77777777" w:rsidR="00DA4921" w:rsidRPr="00DA4921" w:rsidRDefault="00DA4921" w:rsidP="004B328D">
      <w:pPr>
        <w:pStyle w:val="ListParagraph"/>
        <w:jc w:val="both"/>
        <w:rPr>
          <w:rFonts w:cs="Arial"/>
          <w:sz w:val="22"/>
          <w:szCs w:val="22"/>
          <w:lang w:eastAsia="en-GB"/>
        </w:rPr>
      </w:pPr>
    </w:p>
    <w:p w14:paraId="088DD887" w14:textId="77777777" w:rsidR="004B328D" w:rsidRDefault="00DA4921" w:rsidP="004B328D">
      <w:pPr>
        <w:jc w:val="both"/>
        <w:rPr>
          <w:rFonts w:cs="Arial"/>
          <w:sz w:val="22"/>
          <w:szCs w:val="22"/>
          <w:lang w:eastAsia="en-GB"/>
        </w:rPr>
      </w:pPr>
      <w:r>
        <w:rPr>
          <w:rFonts w:cs="Arial"/>
          <w:b/>
          <w:sz w:val="22"/>
          <w:szCs w:val="22"/>
          <w:lang w:eastAsia="en-GB"/>
        </w:rPr>
        <w:t xml:space="preserve">NOTICE: </w:t>
      </w:r>
      <w:r>
        <w:rPr>
          <w:rFonts w:cs="Arial"/>
          <w:sz w:val="22"/>
          <w:szCs w:val="22"/>
          <w:lang w:eastAsia="en-GB"/>
        </w:rPr>
        <w:t xml:space="preserve">In January 2024 NHSE made the decision to remove individual trust’s access to google accounts meaning we are no longer able to respond directly to people leaving feedback through google reviews. Despite these restrictions, the patient experience team continue to share any feedback with services where appropriate. </w:t>
      </w:r>
    </w:p>
    <w:p w14:paraId="421A542F" w14:textId="031B83C1" w:rsidR="00B81699" w:rsidRDefault="0043188A" w:rsidP="004B328D">
      <w:pPr>
        <w:spacing w:after="200" w:line="276" w:lineRule="auto"/>
        <w:jc w:val="both"/>
        <w:rPr>
          <w:rFonts w:cs="Arial"/>
          <w:b/>
          <w:noProof/>
          <w:szCs w:val="22"/>
          <w:lang w:eastAsia="en-GB"/>
        </w:rPr>
      </w:pPr>
      <w:r w:rsidRPr="0043188A">
        <w:rPr>
          <w:rFonts w:cs="Arial"/>
          <w:b/>
          <w:noProof/>
          <w:szCs w:val="22"/>
          <w:lang w:eastAsia="en-GB"/>
        </w:rPr>
        <w:t xml:space="preserve">15. </w:t>
      </w:r>
      <w:r w:rsidR="00B81699">
        <w:rPr>
          <w:rFonts w:cs="Arial"/>
          <w:b/>
          <w:noProof/>
          <w:szCs w:val="22"/>
          <w:lang w:eastAsia="en-GB"/>
        </w:rPr>
        <w:t>Patient Involvement</w:t>
      </w:r>
    </w:p>
    <w:p w14:paraId="519A42BA" w14:textId="47098D55" w:rsidR="00B81699" w:rsidRDefault="00B81699" w:rsidP="004B328D">
      <w:pPr>
        <w:spacing w:after="200" w:line="276" w:lineRule="auto"/>
        <w:jc w:val="both"/>
        <w:rPr>
          <w:rFonts w:cs="Arial"/>
          <w:sz w:val="22"/>
          <w:szCs w:val="22"/>
          <w:lang w:eastAsia="en-GB"/>
        </w:rPr>
      </w:pPr>
      <w:r>
        <w:rPr>
          <w:rFonts w:cs="Arial"/>
          <w:sz w:val="22"/>
          <w:szCs w:val="22"/>
          <w:lang w:eastAsia="en-GB"/>
        </w:rPr>
        <w:t>The Trust has a number of new and established patient forums and user groups. These groups play a pivotal role in providing more platforms for patient feedback and also support coproduction and collaboration on improvement initiatives.</w:t>
      </w:r>
      <w:r w:rsidR="00550C93">
        <w:rPr>
          <w:rFonts w:cs="Arial"/>
          <w:sz w:val="22"/>
          <w:szCs w:val="22"/>
          <w:lang w:eastAsia="en-GB"/>
        </w:rPr>
        <w:t xml:space="preserve"> All of these forums report into the PPEEG. Examples of some of the Trust’s patient forums are outlined below:</w:t>
      </w:r>
    </w:p>
    <w:p w14:paraId="563722C2" w14:textId="4E8D176E" w:rsidR="0023097C" w:rsidRDefault="0023097C" w:rsidP="004B328D">
      <w:pPr>
        <w:spacing w:after="200" w:line="276" w:lineRule="auto"/>
        <w:jc w:val="both"/>
        <w:rPr>
          <w:rFonts w:cs="Arial"/>
          <w:sz w:val="22"/>
          <w:szCs w:val="22"/>
          <w:lang w:eastAsia="en-GB"/>
        </w:rPr>
      </w:pPr>
      <w:r>
        <w:rPr>
          <w:rFonts w:cs="Arial"/>
          <w:sz w:val="22"/>
          <w:szCs w:val="22"/>
          <w:u w:val="single"/>
          <w:lang w:eastAsia="en-GB"/>
        </w:rPr>
        <w:t>- Life after Stroke (CW)</w:t>
      </w:r>
      <w:r>
        <w:rPr>
          <w:rFonts w:cs="Arial"/>
          <w:sz w:val="22"/>
          <w:szCs w:val="22"/>
          <w:lang w:eastAsia="en-GB"/>
        </w:rPr>
        <w:t xml:space="preserve"> – the group is chaired by the lead Stroke Consultant at the hospital site. The group meet quarterly and discuss ways to improve the hospital and post discharge journeys for stroke patients</w:t>
      </w:r>
      <w:r w:rsidR="006E0460">
        <w:rPr>
          <w:rFonts w:cs="Arial"/>
          <w:sz w:val="22"/>
          <w:szCs w:val="22"/>
          <w:lang w:eastAsia="en-GB"/>
        </w:rPr>
        <w:t xml:space="preserve"> at Chelsea and Westminster Hospital</w:t>
      </w:r>
      <w:r>
        <w:rPr>
          <w:rFonts w:cs="Arial"/>
          <w:sz w:val="22"/>
          <w:szCs w:val="22"/>
          <w:lang w:eastAsia="en-GB"/>
        </w:rPr>
        <w:t xml:space="preserve">. </w:t>
      </w:r>
    </w:p>
    <w:p w14:paraId="27ACD09D" w14:textId="0BB00CC2" w:rsidR="006E0460" w:rsidRDefault="006E0460" w:rsidP="004B328D">
      <w:pPr>
        <w:spacing w:after="200" w:line="276" w:lineRule="auto"/>
        <w:jc w:val="both"/>
        <w:rPr>
          <w:rFonts w:cs="Arial"/>
          <w:sz w:val="22"/>
          <w:szCs w:val="22"/>
          <w:lang w:eastAsia="en-GB"/>
        </w:rPr>
      </w:pPr>
      <w:r>
        <w:rPr>
          <w:rFonts w:cs="Arial"/>
          <w:sz w:val="22"/>
          <w:szCs w:val="22"/>
          <w:u w:val="single"/>
          <w:lang w:eastAsia="en-GB"/>
        </w:rPr>
        <w:t xml:space="preserve">- Surviving a Stroke (WM) </w:t>
      </w:r>
      <w:r>
        <w:rPr>
          <w:rFonts w:cs="Arial"/>
          <w:sz w:val="22"/>
          <w:szCs w:val="22"/>
          <w:lang w:eastAsia="en-GB"/>
        </w:rPr>
        <w:t>– similar to the above, this group was formed to give the opportunity to give feedback on the hospital and post discharge journey for stroke patients at West Middlesex University hospital. The group is chaired by the lead nurse and has led to improvement initiatives such</w:t>
      </w:r>
      <w:r w:rsidR="00242478">
        <w:rPr>
          <w:rFonts w:cs="Arial"/>
          <w:sz w:val="22"/>
          <w:szCs w:val="22"/>
          <w:lang w:eastAsia="en-GB"/>
        </w:rPr>
        <w:t xml:space="preserve"> as</w:t>
      </w:r>
      <w:r>
        <w:rPr>
          <w:rFonts w:cs="Arial"/>
          <w:sz w:val="22"/>
          <w:szCs w:val="22"/>
          <w:lang w:eastAsia="en-GB"/>
        </w:rPr>
        <w:t xml:space="preserve"> improved support with eating on the ward, introduction of blood pressure monitoring devices for patients at home and collaborating with patients to review some of the staff training available in the unit, to ensure it is patient centred and focused. </w:t>
      </w:r>
    </w:p>
    <w:p w14:paraId="578B90AD" w14:textId="5DBA39D7" w:rsidR="003D1F59" w:rsidRDefault="003D1F59" w:rsidP="004B328D">
      <w:pPr>
        <w:spacing w:after="200" w:line="276" w:lineRule="auto"/>
        <w:jc w:val="both"/>
        <w:rPr>
          <w:rFonts w:cs="Arial"/>
          <w:sz w:val="22"/>
          <w:szCs w:val="22"/>
          <w:lang w:eastAsia="en-GB"/>
        </w:rPr>
      </w:pPr>
      <w:r>
        <w:rPr>
          <w:rFonts w:cs="Arial"/>
          <w:sz w:val="22"/>
          <w:szCs w:val="22"/>
          <w:u w:val="single"/>
          <w:lang w:eastAsia="en-GB"/>
        </w:rPr>
        <w:t xml:space="preserve">- Maternity and Neonatal Voices Partnership (MNVP) </w:t>
      </w:r>
      <w:r w:rsidR="00BF0542">
        <w:rPr>
          <w:rFonts w:cs="Arial"/>
          <w:sz w:val="22"/>
          <w:szCs w:val="22"/>
          <w:lang w:eastAsia="en-GB"/>
        </w:rPr>
        <w:t>–</w:t>
      </w:r>
      <w:r>
        <w:rPr>
          <w:rFonts w:cs="Arial"/>
          <w:sz w:val="22"/>
          <w:szCs w:val="22"/>
          <w:lang w:eastAsia="en-GB"/>
        </w:rPr>
        <w:t xml:space="preserve"> </w:t>
      </w:r>
      <w:r w:rsidR="00BF0542">
        <w:rPr>
          <w:rFonts w:cs="Arial"/>
          <w:sz w:val="22"/>
          <w:szCs w:val="22"/>
          <w:lang w:eastAsia="en-GB"/>
        </w:rPr>
        <w:t xml:space="preserve">this is a long standing user group chaired by women who have previously accessed maternity care at the Trust. The group’s membership and </w:t>
      </w:r>
      <w:r w:rsidR="00BF0542">
        <w:rPr>
          <w:rFonts w:cs="Arial"/>
          <w:sz w:val="22"/>
          <w:szCs w:val="22"/>
          <w:lang w:eastAsia="en-GB"/>
        </w:rPr>
        <w:lastRenderedPageBreak/>
        <w:t>structure was revised towards the end of the year to include neonatal voices. The group meets quarterly to discuss and reflect on feedback from women accessing maternity care, provide independent support to women going through the pathway and identify and endorse improvements. Outputs over the year include more dynamic and user engaging patient information such as the maternity anaesthesia animation, support with</w:t>
      </w:r>
      <w:r w:rsidR="002334C4">
        <w:rPr>
          <w:rFonts w:cs="Arial"/>
          <w:sz w:val="22"/>
          <w:szCs w:val="22"/>
          <w:lang w:eastAsia="en-GB"/>
        </w:rPr>
        <w:t xml:space="preserve"> a</w:t>
      </w:r>
      <w:r w:rsidR="00BF0542">
        <w:rPr>
          <w:rFonts w:cs="Arial"/>
          <w:sz w:val="22"/>
          <w:szCs w:val="22"/>
          <w:lang w:eastAsia="en-GB"/>
        </w:rPr>
        <w:t xml:space="preserve"> project aimed at procuring new bedside COTs for women whilst they are on the ward and creating the cultural safety subgroup, to ensure the Trust are hearing from those seldom heard groups and ethnic minorities.  </w:t>
      </w:r>
    </w:p>
    <w:p w14:paraId="11E35C34" w14:textId="265F5481" w:rsidR="000465BE" w:rsidRDefault="00BF0542" w:rsidP="004B328D">
      <w:pPr>
        <w:spacing w:after="200" w:line="276" w:lineRule="auto"/>
        <w:jc w:val="both"/>
        <w:rPr>
          <w:rFonts w:cs="Arial"/>
          <w:sz w:val="22"/>
          <w:szCs w:val="22"/>
          <w:lang w:eastAsia="en-GB"/>
        </w:rPr>
      </w:pPr>
      <w:r>
        <w:rPr>
          <w:rFonts w:cs="Arial"/>
          <w:sz w:val="22"/>
          <w:szCs w:val="22"/>
          <w:u w:val="single"/>
          <w:lang w:eastAsia="en-GB"/>
        </w:rPr>
        <w:t xml:space="preserve">- Gender Affirmation Service – Transmasculine Patient Participation Group – </w:t>
      </w:r>
      <w:r>
        <w:rPr>
          <w:rFonts w:cs="Arial"/>
          <w:sz w:val="22"/>
          <w:szCs w:val="22"/>
          <w:lang w:eastAsia="en-GB"/>
        </w:rPr>
        <w:t>this forum allows individuals from the trans and non-binary community to voice thoughts and opinions on how to deliver outstanding trans gender health care at the Trust. Attendees have been pivotal in co</w:t>
      </w:r>
      <w:r w:rsidR="002334C4">
        <w:rPr>
          <w:rFonts w:cs="Arial"/>
          <w:sz w:val="22"/>
          <w:szCs w:val="22"/>
          <w:lang w:eastAsia="en-GB"/>
        </w:rPr>
        <w:t>-</w:t>
      </w:r>
      <w:r>
        <w:rPr>
          <w:rFonts w:cs="Arial"/>
          <w:sz w:val="22"/>
          <w:szCs w:val="22"/>
          <w:lang w:eastAsia="en-GB"/>
        </w:rPr>
        <w:t>developing patient information for the Chelsea Centre for Gender Surgery and acting as patient champions during staff training.</w:t>
      </w:r>
    </w:p>
    <w:p w14:paraId="45AF81C8" w14:textId="32ABEDFD" w:rsidR="00A32A41" w:rsidRPr="00346836" w:rsidRDefault="00A32A41" w:rsidP="00346836">
      <w:pPr>
        <w:pStyle w:val="ListParagraph"/>
        <w:numPr>
          <w:ilvl w:val="0"/>
          <w:numId w:val="5"/>
        </w:numPr>
        <w:spacing w:after="200" w:line="276" w:lineRule="auto"/>
        <w:ind w:left="0"/>
        <w:jc w:val="both"/>
        <w:rPr>
          <w:rFonts w:cs="Arial"/>
          <w:sz w:val="22"/>
          <w:szCs w:val="22"/>
          <w:u w:val="single"/>
          <w:lang w:eastAsia="en-GB"/>
        </w:rPr>
      </w:pPr>
      <w:r w:rsidRPr="00346836">
        <w:rPr>
          <w:rFonts w:cs="Arial"/>
          <w:sz w:val="22"/>
          <w:szCs w:val="22"/>
          <w:u w:val="single"/>
          <w:lang w:eastAsia="en-GB"/>
        </w:rPr>
        <w:t>Living with HIV</w:t>
      </w:r>
      <w:r w:rsidR="000465BE">
        <w:rPr>
          <w:rFonts w:cs="Arial"/>
          <w:sz w:val="22"/>
          <w:szCs w:val="22"/>
          <w:u w:val="single"/>
          <w:lang w:eastAsia="en-GB"/>
        </w:rPr>
        <w:t xml:space="preserve"> – </w:t>
      </w:r>
      <w:r w:rsidR="000465BE">
        <w:rPr>
          <w:rFonts w:cs="Arial"/>
          <w:sz w:val="22"/>
          <w:szCs w:val="22"/>
          <w:lang w:eastAsia="en-GB"/>
        </w:rPr>
        <w:t>this group brings together patients and professionals of the Kobler Clinic each quarter to discuss health outcomes, general feedback and improvement initiatives. The group was newly formed towards the end of the year, but has already seen strong engagement from the patient population and outputs will be reported through the Trust’s PPEEG and the 2024-25 patient experience annual report.</w:t>
      </w:r>
    </w:p>
    <w:p w14:paraId="08D5C97F" w14:textId="77777777" w:rsidR="005302D7" w:rsidRPr="00346836" w:rsidRDefault="005302D7" w:rsidP="00346836">
      <w:pPr>
        <w:pStyle w:val="ListParagraph"/>
        <w:spacing w:after="200" w:line="276" w:lineRule="auto"/>
        <w:ind w:left="0"/>
        <w:jc w:val="both"/>
        <w:rPr>
          <w:rFonts w:cs="Arial"/>
          <w:sz w:val="22"/>
          <w:szCs w:val="22"/>
          <w:u w:val="single"/>
          <w:lang w:eastAsia="en-GB"/>
        </w:rPr>
      </w:pPr>
    </w:p>
    <w:p w14:paraId="359FFDF5" w14:textId="35B8C878" w:rsidR="005302D7" w:rsidRPr="00346836" w:rsidRDefault="005302D7" w:rsidP="00346836">
      <w:pPr>
        <w:pStyle w:val="ListParagraph"/>
        <w:numPr>
          <w:ilvl w:val="0"/>
          <w:numId w:val="5"/>
        </w:numPr>
        <w:spacing w:after="200" w:line="276" w:lineRule="auto"/>
        <w:ind w:left="0"/>
        <w:jc w:val="both"/>
        <w:rPr>
          <w:rFonts w:cs="Arial"/>
          <w:sz w:val="22"/>
          <w:szCs w:val="22"/>
          <w:u w:val="single"/>
          <w:lang w:eastAsia="en-GB"/>
        </w:rPr>
      </w:pPr>
      <w:r>
        <w:rPr>
          <w:rFonts w:cs="Arial"/>
          <w:sz w:val="22"/>
          <w:szCs w:val="22"/>
          <w:u w:val="single"/>
          <w:lang w:eastAsia="en-GB"/>
        </w:rPr>
        <w:t xml:space="preserve">ENDO Voice – </w:t>
      </w:r>
      <w:r>
        <w:rPr>
          <w:rFonts w:cs="Arial"/>
          <w:sz w:val="22"/>
          <w:szCs w:val="22"/>
          <w:lang w:eastAsia="en-GB"/>
        </w:rPr>
        <w:t xml:space="preserve">this is a well-established forum for patients accessing Endoscopy care at the Trust. The forum meets quarterly to share feedback on their experience and journey through the department, and what could be improved. </w:t>
      </w:r>
      <w:r w:rsidR="00AD27B1">
        <w:rPr>
          <w:rFonts w:cs="Arial"/>
          <w:sz w:val="22"/>
          <w:szCs w:val="22"/>
          <w:lang w:eastAsia="en-GB"/>
        </w:rPr>
        <w:t xml:space="preserve">Feedback from patients has been used </w:t>
      </w:r>
      <w:r w:rsidR="00536EB1">
        <w:rPr>
          <w:rFonts w:cs="Arial"/>
          <w:sz w:val="22"/>
          <w:szCs w:val="22"/>
          <w:lang w:eastAsia="en-GB"/>
        </w:rPr>
        <w:t>to improve DNA and cancellation rates in the department, i</w:t>
      </w:r>
      <w:r w:rsidR="00494372">
        <w:rPr>
          <w:rFonts w:cs="Arial"/>
          <w:sz w:val="22"/>
          <w:szCs w:val="22"/>
          <w:lang w:eastAsia="en-GB"/>
        </w:rPr>
        <w:t xml:space="preserve">ntroduction of a new diet sheet, looking at introducing a digital board to keep patients updated on wait times </w:t>
      </w:r>
      <w:r w:rsidR="00536EB1">
        <w:rPr>
          <w:rFonts w:cs="Arial"/>
          <w:sz w:val="22"/>
          <w:szCs w:val="22"/>
          <w:lang w:eastAsia="en-GB"/>
        </w:rPr>
        <w:t xml:space="preserve">and looking at how we better communicate with patients from ethnic minority groups. </w:t>
      </w:r>
    </w:p>
    <w:p w14:paraId="1AE0104D" w14:textId="77777777" w:rsidR="0076051F" w:rsidRPr="00346836" w:rsidRDefault="0076051F" w:rsidP="00346836">
      <w:pPr>
        <w:pStyle w:val="ListParagraph"/>
        <w:ind w:left="0"/>
        <w:rPr>
          <w:rFonts w:cs="Arial"/>
          <w:sz w:val="22"/>
          <w:szCs w:val="22"/>
          <w:u w:val="single"/>
          <w:lang w:eastAsia="en-GB"/>
        </w:rPr>
      </w:pPr>
    </w:p>
    <w:p w14:paraId="7D284D80" w14:textId="356F4C5B" w:rsidR="00C75E9E" w:rsidRDefault="00D61A0D" w:rsidP="00346836">
      <w:pPr>
        <w:pStyle w:val="ListParagraph"/>
        <w:numPr>
          <w:ilvl w:val="0"/>
          <w:numId w:val="5"/>
        </w:numPr>
        <w:spacing w:after="200" w:line="276" w:lineRule="auto"/>
        <w:ind w:left="0"/>
        <w:jc w:val="both"/>
        <w:rPr>
          <w:rFonts w:cs="Arial"/>
          <w:sz w:val="22"/>
          <w:szCs w:val="22"/>
          <w:lang w:eastAsia="en-GB"/>
        </w:rPr>
      </w:pPr>
      <w:r w:rsidRPr="00346836">
        <w:rPr>
          <w:rFonts w:cs="Arial"/>
          <w:sz w:val="22"/>
          <w:szCs w:val="22"/>
          <w:u w:val="single"/>
          <w:lang w:eastAsia="en-GB"/>
        </w:rPr>
        <w:t xml:space="preserve">Intensive Care Unit </w:t>
      </w:r>
      <w:r w:rsidR="002334C4">
        <w:rPr>
          <w:rFonts w:cs="Arial"/>
          <w:sz w:val="22"/>
          <w:szCs w:val="22"/>
          <w:u w:val="single"/>
          <w:lang w:eastAsia="en-GB"/>
        </w:rPr>
        <w:t xml:space="preserve">(ICU) </w:t>
      </w:r>
      <w:r w:rsidRPr="00346836">
        <w:rPr>
          <w:rFonts w:cs="Arial"/>
          <w:sz w:val="22"/>
          <w:szCs w:val="22"/>
          <w:u w:val="single"/>
          <w:lang w:eastAsia="en-GB"/>
        </w:rPr>
        <w:t xml:space="preserve">Patient Focus Group </w:t>
      </w:r>
      <w:r w:rsidR="0065130F" w:rsidRPr="00346836">
        <w:rPr>
          <w:rFonts w:cs="Arial"/>
          <w:sz w:val="22"/>
          <w:szCs w:val="22"/>
          <w:u w:val="single"/>
          <w:lang w:eastAsia="en-GB"/>
        </w:rPr>
        <w:t>–</w:t>
      </w:r>
      <w:r w:rsidRPr="00346836">
        <w:rPr>
          <w:rFonts w:cs="Arial"/>
          <w:sz w:val="22"/>
          <w:szCs w:val="22"/>
          <w:u w:val="single"/>
          <w:lang w:eastAsia="en-GB"/>
        </w:rPr>
        <w:t xml:space="preserve"> </w:t>
      </w:r>
      <w:r w:rsidR="0065130F" w:rsidRPr="00346836">
        <w:rPr>
          <w:rFonts w:cs="Arial"/>
          <w:sz w:val="22"/>
          <w:szCs w:val="22"/>
          <w:lang w:eastAsia="en-GB"/>
        </w:rPr>
        <w:t xml:space="preserve">the group invites previous </w:t>
      </w:r>
      <w:r w:rsidR="002334C4">
        <w:rPr>
          <w:rFonts w:cs="Arial"/>
          <w:sz w:val="22"/>
          <w:szCs w:val="22"/>
          <w:lang w:eastAsia="en-GB"/>
        </w:rPr>
        <w:t xml:space="preserve">ICU </w:t>
      </w:r>
      <w:r w:rsidR="0065130F" w:rsidRPr="00346836">
        <w:rPr>
          <w:rFonts w:cs="Arial"/>
          <w:sz w:val="22"/>
          <w:szCs w:val="22"/>
          <w:lang w:eastAsia="en-GB"/>
        </w:rPr>
        <w:t>patients back into the hospital</w:t>
      </w:r>
      <w:r w:rsidR="00A223A1" w:rsidRPr="00346836">
        <w:rPr>
          <w:rFonts w:cs="Arial"/>
          <w:sz w:val="22"/>
          <w:szCs w:val="22"/>
          <w:lang w:eastAsia="en-GB"/>
        </w:rPr>
        <w:t xml:space="preserve"> to share feedback on their experience and interact with the teams that cared for them. Some </w:t>
      </w:r>
      <w:r w:rsidR="00B64379" w:rsidRPr="00346836">
        <w:rPr>
          <w:rFonts w:cs="Arial"/>
          <w:sz w:val="22"/>
          <w:szCs w:val="22"/>
          <w:lang w:eastAsia="en-GB"/>
        </w:rPr>
        <w:t>of the outputs from this recently restarted group</w:t>
      </w:r>
      <w:r w:rsidR="00B115F5" w:rsidRPr="00346836">
        <w:rPr>
          <w:rFonts w:cs="Arial"/>
          <w:sz w:val="22"/>
          <w:szCs w:val="22"/>
          <w:lang w:eastAsia="en-GB"/>
        </w:rPr>
        <w:t>; ongoing work on delirium management, o</w:t>
      </w:r>
      <w:r w:rsidR="0076051F" w:rsidRPr="00346836">
        <w:rPr>
          <w:rFonts w:cs="Arial"/>
          <w:sz w:val="22"/>
          <w:szCs w:val="22"/>
          <w:lang w:eastAsia="en-GB"/>
        </w:rPr>
        <w:t>ngoing work to support visitors and exploring how we can continue to support a positive step down from ICU onto the wards.</w:t>
      </w:r>
    </w:p>
    <w:p w14:paraId="2AA64D50" w14:textId="77777777" w:rsidR="00C75E9E" w:rsidRPr="00346836" w:rsidRDefault="00C75E9E" w:rsidP="00346836">
      <w:pPr>
        <w:pStyle w:val="ListParagraph"/>
        <w:spacing w:after="200" w:line="276" w:lineRule="auto"/>
        <w:ind w:left="0"/>
        <w:jc w:val="both"/>
        <w:rPr>
          <w:rFonts w:cs="Arial"/>
          <w:sz w:val="22"/>
          <w:szCs w:val="22"/>
          <w:lang w:eastAsia="en-GB"/>
        </w:rPr>
      </w:pPr>
    </w:p>
    <w:p w14:paraId="32F54891" w14:textId="60FA3EB7" w:rsidR="003C0517" w:rsidRPr="00346836" w:rsidRDefault="003C0517" w:rsidP="00346836">
      <w:pPr>
        <w:pStyle w:val="ListParagraph"/>
        <w:numPr>
          <w:ilvl w:val="0"/>
          <w:numId w:val="5"/>
        </w:numPr>
        <w:spacing w:after="200" w:line="276" w:lineRule="auto"/>
        <w:ind w:left="0"/>
        <w:jc w:val="both"/>
        <w:rPr>
          <w:rFonts w:cs="Arial"/>
          <w:sz w:val="22"/>
          <w:szCs w:val="22"/>
          <w:u w:val="single"/>
          <w:lang w:eastAsia="en-GB"/>
        </w:rPr>
      </w:pPr>
      <w:r>
        <w:rPr>
          <w:rFonts w:cs="Arial"/>
          <w:sz w:val="22"/>
          <w:szCs w:val="22"/>
          <w:u w:val="single"/>
          <w:lang w:eastAsia="en-GB"/>
        </w:rPr>
        <w:t xml:space="preserve">Neonatal Parent Support Group – </w:t>
      </w:r>
      <w:r>
        <w:rPr>
          <w:rFonts w:cs="Arial"/>
          <w:sz w:val="22"/>
          <w:szCs w:val="22"/>
          <w:lang w:eastAsia="en-GB"/>
        </w:rPr>
        <w:t xml:space="preserve">this is an informal group, facilitated by the unit psychologist to provide psychological and emotional support to parents of babies who are inpatient to the unit. Parents are assured of a confidential space, so feedback is not given to the multidisciplinary team about discussions that occur. For this forum, parents have indicated they would prefer it if a nurse or medical member of the team does not attend. </w:t>
      </w:r>
      <w:r w:rsidR="003037EE">
        <w:rPr>
          <w:rFonts w:cs="Arial"/>
          <w:sz w:val="22"/>
          <w:szCs w:val="22"/>
          <w:lang w:eastAsia="en-GB"/>
        </w:rPr>
        <w:t>Parents have reported this group helps them cope better during a difficult time, due to the support provided by the psychologist but also due to relationship building with other parents.</w:t>
      </w:r>
    </w:p>
    <w:p w14:paraId="728D6927" w14:textId="1BE25C13" w:rsidR="003D1F59" w:rsidRPr="00F604B7" w:rsidRDefault="003D1F59" w:rsidP="004B328D">
      <w:pPr>
        <w:spacing w:after="200" w:line="276" w:lineRule="auto"/>
        <w:jc w:val="both"/>
        <w:rPr>
          <w:rFonts w:cs="Arial"/>
          <w:b/>
          <w:sz w:val="22"/>
          <w:szCs w:val="22"/>
          <w:lang w:eastAsia="en-GB"/>
        </w:rPr>
      </w:pPr>
      <w:r w:rsidRPr="00F604B7">
        <w:rPr>
          <w:rFonts w:cs="Arial"/>
          <w:b/>
          <w:sz w:val="22"/>
          <w:szCs w:val="22"/>
          <w:lang w:eastAsia="en-GB"/>
        </w:rPr>
        <w:t xml:space="preserve">16. Volunteering Service </w:t>
      </w:r>
    </w:p>
    <w:p w14:paraId="582FA620" w14:textId="77777777" w:rsidR="00F604B7" w:rsidRPr="00346836" w:rsidRDefault="00F604B7" w:rsidP="00F604B7">
      <w:pPr>
        <w:spacing w:after="0"/>
        <w:rPr>
          <w:rFonts w:cs="Arial"/>
          <w:sz w:val="22"/>
          <w:szCs w:val="20"/>
        </w:rPr>
      </w:pPr>
      <w:r w:rsidRPr="00346836">
        <w:rPr>
          <w:rFonts w:cs="Arial"/>
          <w:sz w:val="22"/>
          <w:szCs w:val="20"/>
        </w:rPr>
        <w:t>In June 2023, the volunteering team published their 3 year strategy for becoming a transformational service, which positively impacts the lives of our patients, staff and volunteers. This strategy has 4 aims:</w:t>
      </w:r>
    </w:p>
    <w:p w14:paraId="370501A0" w14:textId="77777777" w:rsidR="00F604B7" w:rsidRPr="00346836" w:rsidRDefault="00F604B7" w:rsidP="00F604B7">
      <w:pPr>
        <w:spacing w:after="0"/>
        <w:rPr>
          <w:rFonts w:cs="Arial"/>
          <w:bCs/>
          <w:sz w:val="22"/>
          <w:szCs w:val="20"/>
        </w:rPr>
      </w:pPr>
    </w:p>
    <w:p w14:paraId="561C3575" w14:textId="77777777" w:rsidR="00F604B7" w:rsidRPr="00346836" w:rsidRDefault="00F604B7" w:rsidP="00F604B7">
      <w:pPr>
        <w:spacing w:after="0"/>
        <w:ind w:left="567"/>
        <w:rPr>
          <w:rFonts w:cs="Arial"/>
          <w:bCs/>
          <w:sz w:val="22"/>
          <w:szCs w:val="20"/>
        </w:rPr>
      </w:pPr>
      <w:r w:rsidRPr="00346836">
        <w:rPr>
          <w:rFonts w:cs="Arial"/>
          <w:b/>
          <w:bCs/>
          <w:sz w:val="22"/>
          <w:szCs w:val="20"/>
        </w:rPr>
        <w:t xml:space="preserve">Strategic aim one - </w:t>
      </w:r>
      <w:r w:rsidRPr="00346836">
        <w:rPr>
          <w:rFonts w:cs="Arial"/>
          <w:bCs/>
          <w:sz w:val="22"/>
          <w:szCs w:val="20"/>
        </w:rPr>
        <w:t xml:space="preserve">We want to have a more positive impact on patients; reaching more patients, in more ways, in more areas of the hospital (and at home), at more times of the week. </w:t>
      </w:r>
    </w:p>
    <w:p w14:paraId="133BBDA5" w14:textId="77777777" w:rsidR="00F604B7" w:rsidRPr="00346836" w:rsidRDefault="00F604B7" w:rsidP="00F604B7">
      <w:pPr>
        <w:spacing w:after="0"/>
        <w:ind w:left="567"/>
        <w:rPr>
          <w:rFonts w:cs="Arial"/>
          <w:bCs/>
          <w:sz w:val="22"/>
          <w:szCs w:val="20"/>
        </w:rPr>
      </w:pPr>
    </w:p>
    <w:p w14:paraId="75E72B3F" w14:textId="77777777" w:rsidR="00F604B7" w:rsidRPr="00346836" w:rsidRDefault="00F604B7" w:rsidP="00F604B7">
      <w:pPr>
        <w:spacing w:after="0"/>
        <w:ind w:left="567"/>
        <w:rPr>
          <w:rFonts w:cs="Arial"/>
          <w:sz w:val="22"/>
          <w:szCs w:val="20"/>
        </w:rPr>
      </w:pPr>
      <w:r w:rsidRPr="00346836">
        <w:rPr>
          <w:rFonts w:cs="Arial"/>
          <w:b/>
          <w:bCs/>
          <w:sz w:val="22"/>
          <w:szCs w:val="20"/>
        </w:rPr>
        <w:lastRenderedPageBreak/>
        <w:t xml:space="preserve">Strategic aim two - </w:t>
      </w:r>
      <w:r w:rsidRPr="00346836">
        <w:rPr>
          <w:rFonts w:cs="Arial"/>
          <w:bCs/>
          <w:sz w:val="22"/>
          <w:szCs w:val="20"/>
        </w:rPr>
        <w:t>We want to have a more positive impact on staff; saving more clinical and non-clinical staff time, and contributing to wellbeing, to help alleviate pressures staff.</w:t>
      </w:r>
    </w:p>
    <w:p w14:paraId="4072F497" w14:textId="77777777" w:rsidR="00F604B7" w:rsidRPr="00346836" w:rsidRDefault="00F604B7" w:rsidP="00F604B7">
      <w:pPr>
        <w:spacing w:after="0"/>
        <w:ind w:left="567"/>
        <w:rPr>
          <w:rFonts w:cs="Arial"/>
          <w:bCs/>
          <w:sz w:val="22"/>
          <w:szCs w:val="20"/>
        </w:rPr>
      </w:pPr>
    </w:p>
    <w:p w14:paraId="151E237E" w14:textId="77777777" w:rsidR="00F604B7" w:rsidRPr="00346836" w:rsidRDefault="00F604B7" w:rsidP="00F604B7">
      <w:pPr>
        <w:spacing w:after="0"/>
        <w:ind w:left="567"/>
        <w:rPr>
          <w:rFonts w:cs="Arial"/>
          <w:bCs/>
          <w:sz w:val="22"/>
          <w:szCs w:val="20"/>
        </w:rPr>
      </w:pPr>
      <w:r w:rsidRPr="00346836">
        <w:rPr>
          <w:rFonts w:cs="Arial"/>
          <w:b/>
          <w:bCs/>
          <w:sz w:val="22"/>
          <w:szCs w:val="20"/>
        </w:rPr>
        <w:t xml:space="preserve">Strategic aim three - </w:t>
      </w:r>
      <w:r w:rsidRPr="00346836">
        <w:rPr>
          <w:rFonts w:cs="Arial"/>
          <w:bCs/>
          <w:sz w:val="22"/>
          <w:szCs w:val="20"/>
        </w:rPr>
        <w:t xml:space="preserve">We want to have a more positive impact on volunteers; empowering and engaging a more diverse range of people, including those from more challenged backgrounds, and acting as a catalyst for social mobility by helping them to reach their personal and professional goals. </w:t>
      </w:r>
    </w:p>
    <w:p w14:paraId="40445C0F" w14:textId="77777777" w:rsidR="00F604B7" w:rsidRPr="00346836" w:rsidRDefault="00F604B7" w:rsidP="00F604B7">
      <w:pPr>
        <w:spacing w:after="0"/>
        <w:ind w:left="567"/>
        <w:rPr>
          <w:rFonts w:cs="Arial"/>
          <w:bCs/>
          <w:sz w:val="22"/>
          <w:szCs w:val="20"/>
        </w:rPr>
      </w:pPr>
    </w:p>
    <w:p w14:paraId="198C89A3" w14:textId="77777777" w:rsidR="00F604B7" w:rsidRPr="00346836" w:rsidRDefault="00F604B7" w:rsidP="00F604B7">
      <w:pPr>
        <w:spacing w:after="0"/>
        <w:ind w:left="567"/>
        <w:rPr>
          <w:rFonts w:cs="Arial"/>
          <w:bCs/>
          <w:sz w:val="22"/>
          <w:szCs w:val="20"/>
        </w:rPr>
      </w:pPr>
      <w:r w:rsidRPr="00346836">
        <w:rPr>
          <w:rFonts w:cs="Arial"/>
          <w:b/>
          <w:bCs/>
          <w:sz w:val="22"/>
          <w:szCs w:val="20"/>
        </w:rPr>
        <w:t xml:space="preserve">Strategic objective four - </w:t>
      </w:r>
      <w:r w:rsidRPr="00346836">
        <w:rPr>
          <w:rFonts w:cs="Arial"/>
          <w:bCs/>
          <w:sz w:val="22"/>
          <w:szCs w:val="20"/>
        </w:rPr>
        <w:t>We want to create a highly professional service; volunteers will be recruited and oriented quickly, partner volunteers will be deployed in line with Trust standards and coordinated jointly, and the service will strive to continue improving volunteer experience and retention.</w:t>
      </w:r>
    </w:p>
    <w:p w14:paraId="3F88F20E" w14:textId="77777777" w:rsidR="00F604B7" w:rsidRPr="00346836" w:rsidRDefault="00F604B7" w:rsidP="00F604B7">
      <w:pPr>
        <w:spacing w:after="0"/>
        <w:rPr>
          <w:rFonts w:cs="Arial"/>
          <w:sz w:val="22"/>
          <w:szCs w:val="20"/>
        </w:rPr>
      </w:pPr>
    </w:p>
    <w:p w14:paraId="03BAD3A3" w14:textId="0FF3B9B0" w:rsidR="00F604B7" w:rsidRPr="00346836" w:rsidRDefault="00F604B7" w:rsidP="00F604B7">
      <w:pPr>
        <w:spacing w:after="0"/>
        <w:rPr>
          <w:rFonts w:cs="Arial"/>
          <w:sz w:val="22"/>
          <w:szCs w:val="20"/>
        </w:rPr>
      </w:pPr>
      <w:r w:rsidRPr="00346836">
        <w:rPr>
          <w:rFonts w:cs="Arial"/>
          <w:sz w:val="22"/>
          <w:szCs w:val="20"/>
        </w:rPr>
        <w:t>A number of objectives and associated metrics make u</w:t>
      </w:r>
      <w:r w:rsidR="001401C9">
        <w:rPr>
          <w:rFonts w:cs="Arial"/>
          <w:sz w:val="22"/>
          <w:szCs w:val="20"/>
        </w:rPr>
        <w:t xml:space="preserve">p each of these strategic aims. </w:t>
      </w:r>
      <w:r w:rsidRPr="00346836">
        <w:rPr>
          <w:rFonts w:cs="Arial"/>
          <w:sz w:val="22"/>
          <w:szCs w:val="20"/>
        </w:rPr>
        <w:t xml:space="preserve">Despite not achieving some of the desired end of year metrics, there has been successful progress made against some of the strategic objectives for 2023-24 and 2024-25. Baseline data start points differ for some metrics as there was a staggered approach to collecting and extracting this information from various data points. </w:t>
      </w:r>
    </w:p>
    <w:p w14:paraId="3155D1CF" w14:textId="77777777" w:rsidR="00F604B7" w:rsidRPr="00346836" w:rsidRDefault="00F604B7" w:rsidP="00F604B7">
      <w:pPr>
        <w:spacing w:after="0"/>
        <w:rPr>
          <w:rFonts w:cs="Arial"/>
          <w:sz w:val="22"/>
          <w:szCs w:val="20"/>
        </w:rPr>
      </w:pPr>
    </w:p>
    <w:p w14:paraId="445EB184" w14:textId="77777777" w:rsidR="00F604B7" w:rsidRPr="00346836" w:rsidRDefault="00F604B7" w:rsidP="00F604B7">
      <w:pPr>
        <w:spacing w:after="0"/>
        <w:rPr>
          <w:rFonts w:cs="Arial"/>
          <w:sz w:val="22"/>
          <w:szCs w:val="20"/>
        </w:rPr>
      </w:pPr>
      <w:r w:rsidRPr="00346836">
        <w:rPr>
          <w:rFonts w:cs="Arial"/>
          <w:sz w:val="22"/>
          <w:szCs w:val="20"/>
        </w:rPr>
        <w:t>See below some of the key achievements for the 2023-24 year:</w:t>
      </w:r>
    </w:p>
    <w:p w14:paraId="7FCCDB15" w14:textId="77777777" w:rsidR="00F604B7" w:rsidRPr="00346836" w:rsidRDefault="00F604B7" w:rsidP="00F604B7">
      <w:pPr>
        <w:spacing w:after="0"/>
        <w:rPr>
          <w:rFonts w:cs="Arial"/>
          <w:sz w:val="22"/>
          <w:szCs w:val="20"/>
        </w:rPr>
      </w:pPr>
    </w:p>
    <w:p w14:paraId="70FDB56E" w14:textId="7B64F94F" w:rsidR="00F604B7" w:rsidRPr="00346836" w:rsidRDefault="00F604B7" w:rsidP="00F604B7">
      <w:pPr>
        <w:pStyle w:val="ListParagraph"/>
        <w:numPr>
          <w:ilvl w:val="0"/>
          <w:numId w:val="13"/>
        </w:numPr>
        <w:spacing w:after="0" w:line="259" w:lineRule="auto"/>
        <w:rPr>
          <w:rFonts w:cs="Arial"/>
          <w:sz w:val="22"/>
          <w:szCs w:val="20"/>
        </w:rPr>
      </w:pPr>
      <w:r w:rsidRPr="00346836">
        <w:rPr>
          <w:rFonts w:cs="Arial"/>
          <w:sz w:val="22"/>
          <w:szCs w:val="20"/>
        </w:rPr>
        <w:t xml:space="preserve">The volunteers contributed a total of 36,889 hours, which is an increase of 12% compared to the previous year. This saw an increase from an average of 215 to 222 active volunteers in a month over the </w:t>
      </w:r>
      <w:r w:rsidR="005F29DA">
        <w:rPr>
          <w:rFonts w:cs="Arial"/>
          <w:sz w:val="22"/>
          <w:szCs w:val="20"/>
        </w:rPr>
        <w:t xml:space="preserve">same time period. </w:t>
      </w:r>
      <w:r w:rsidRPr="00346836">
        <w:rPr>
          <w:rFonts w:cs="Arial"/>
          <w:sz w:val="22"/>
          <w:szCs w:val="20"/>
        </w:rPr>
        <w:t>This increased activity is despite there being extended absence in the team throughout the year</w:t>
      </w:r>
    </w:p>
    <w:p w14:paraId="50262017" w14:textId="77777777" w:rsidR="00F604B7" w:rsidRPr="00346836" w:rsidRDefault="00F604B7" w:rsidP="00F604B7">
      <w:pPr>
        <w:spacing w:after="0"/>
        <w:rPr>
          <w:rFonts w:cs="Arial"/>
          <w:sz w:val="22"/>
          <w:szCs w:val="20"/>
        </w:rPr>
      </w:pPr>
    </w:p>
    <w:p w14:paraId="61A9F82E" w14:textId="77777777" w:rsidR="00F604B7" w:rsidRPr="00346836" w:rsidRDefault="00F604B7" w:rsidP="00F604B7">
      <w:pPr>
        <w:spacing w:after="0"/>
        <w:jc w:val="center"/>
        <w:rPr>
          <w:rFonts w:cs="Arial"/>
          <w:sz w:val="22"/>
          <w:szCs w:val="20"/>
        </w:rPr>
      </w:pPr>
      <w:r w:rsidRPr="00346836">
        <w:rPr>
          <w:rFonts w:cs="Arial"/>
          <w:sz w:val="22"/>
          <w:szCs w:val="20"/>
        </w:rPr>
        <w:t>Figure 1 – Total volunteer contribution (hours per month)</w:t>
      </w:r>
    </w:p>
    <w:p w14:paraId="50A2F725" w14:textId="77777777" w:rsidR="00F604B7" w:rsidRPr="00346836" w:rsidRDefault="00F604B7" w:rsidP="00F604B7">
      <w:pPr>
        <w:spacing w:after="0"/>
        <w:jc w:val="center"/>
        <w:rPr>
          <w:rFonts w:cs="Arial"/>
          <w:sz w:val="22"/>
          <w:szCs w:val="20"/>
        </w:rPr>
      </w:pPr>
      <w:r w:rsidRPr="00346836">
        <w:rPr>
          <w:rFonts w:cs="Arial"/>
          <w:b/>
          <w:noProof/>
          <w:sz w:val="28"/>
          <w:lang w:eastAsia="en-GB"/>
        </w:rPr>
        <w:drawing>
          <wp:inline distT="0" distB="0" distL="0" distR="0" wp14:anchorId="29598F2A" wp14:editId="6BD6177F">
            <wp:extent cx="3709901" cy="2289810"/>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a:stretch>
                      <a:fillRect/>
                    </a:stretch>
                  </pic:blipFill>
                  <pic:spPr>
                    <a:xfrm>
                      <a:off x="0" y="0"/>
                      <a:ext cx="3721503" cy="2296971"/>
                    </a:xfrm>
                    <a:prstGeom prst="rect">
                      <a:avLst/>
                    </a:prstGeom>
                  </pic:spPr>
                </pic:pic>
              </a:graphicData>
            </a:graphic>
          </wp:inline>
        </w:drawing>
      </w:r>
    </w:p>
    <w:p w14:paraId="16F018A4" w14:textId="7A1C3997" w:rsidR="00F604B7" w:rsidRPr="00346836" w:rsidRDefault="00F604B7" w:rsidP="00F604B7">
      <w:pPr>
        <w:spacing w:after="0"/>
        <w:rPr>
          <w:rFonts w:cs="Arial"/>
          <w:sz w:val="22"/>
          <w:szCs w:val="20"/>
        </w:rPr>
      </w:pPr>
    </w:p>
    <w:p w14:paraId="13EE0906" w14:textId="353D4819" w:rsidR="00F604B7" w:rsidRPr="00346836" w:rsidRDefault="00F604B7" w:rsidP="00F604B7">
      <w:pPr>
        <w:pStyle w:val="ListParagraph"/>
        <w:numPr>
          <w:ilvl w:val="0"/>
          <w:numId w:val="13"/>
        </w:numPr>
        <w:spacing w:after="0" w:line="259" w:lineRule="auto"/>
        <w:rPr>
          <w:rFonts w:cs="Arial"/>
          <w:sz w:val="22"/>
          <w:szCs w:val="20"/>
        </w:rPr>
      </w:pPr>
      <w:r w:rsidRPr="00346836">
        <w:rPr>
          <w:rFonts w:cs="Arial"/>
          <w:sz w:val="22"/>
          <w:szCs w:val="20"/>
        </w:rPr>
        <w:t>There has been a 38% increase in clinical time saved and 55% increase in non-clinical time saved as a result of the volunteer offering when compared with the previous year</w:t>
      </w:r>
      <w:r w:rsidR="005F29DA">
        <w:rPr>
          <w:rFonts w:cs="Arial"/>
          <w:sz w:val="22"/>
          <w:szCs w:val="20"/>
        </w:rPr>
        <w:t>.</w:t>
      </w:r>
    </w:p>
    <w:p w14:paraId="2DDCDC8F" w14:textId="77777777" w:rsidR="00F604B7" w:rsidRPr="00346836" w:rsidRDefault="00F604B7" w:rsidP="00F604B7">
      <w:pPr>
        <w:spacing w:after="0"/>
        <w:rPr>
          <w:rFonts w:cs="Arial"/>
          <w:sz w:val="22"/>
          <w:szCs w:val="20"/>
        </w:rPr>
      </w:pPr>
    </w:p>
    <w:p w14:paraId="7E70A8A3" w14:textId="77777777" w:rsidR="007A4DB8" w:rsidRDefault="007A4DB8" w:rsidP="00F604B7">
      <w:pPr>
        <w:spacing w:after="0"/>
        <w:jc w:val="center"/>
        <w:rPr>
          <w:rFonts w:cs="Arial"/>
          <w:sz w:val="22"/>
          <w:szCs w:val="20"/>
        </w:rPr>
      </w:pPr>
    </w:p>
    <w:p w14:paraId="15CC5D6E" w14:textId="77777777" w:rsidR="007A4DB8" w:rsidRDefault="007A4DB8" w:rsidP="00F604B7">
      <w:pPr>
        <w:spacing w:after="0"/>
        <w:jc w:val="center"/>
        <w:rPr>
          <w:rFonts w:cs="Arial"/>
          <w:sz w:val="22"/>
          <w:szCs w:val="20"/>
        </w:rPr>
      </w:pPr>
    </w:p>
    <w:p w14:paraId="0142DF64" w14:textId="77777777" w:rsidR="007A4DB8" w:rsidRDefault="007A4DB8" w:rsidP="00F604B7">
      <w:pPr>
        <w:spacing w:after="0"/>
        <w:jc w:val="center"/>
        <w:rPr>
          <w:rFonts w:cs="Arial"/>
          <w:sz w:val="22"/>
          <w:szCs w:val="20"/>
        </w:rPr>
      </w:pPr>
    </w:p>
    <w:p w14:paraId="040E23FC" w14:textId="77777777" w:rsidR="007A4DB8" w:rsidRDefault="007A4DB8" w:rsidP="00F604B7">
      <w:pPr>
        <w:spacing w:after="0"/>
        <w:jc w:val="center"/>
        <w:rPr>
          <w:rFonts w:cs="Arial"/>
          <w:sz w:val="22"/>
          <w:szCs w:val="20"/>
        </w:rPr>
      </w:pPr>
    </w:p>
    <w:p w14:paraId="213E8BD6" w14:textId="77777777" w:rsidR="007A4DB8" w:rsidRDefault="007A4DB8" w:rsidP="00F604B7">
      <w:pPr>
        <w:spacing w:after="0"/>
        <w:jc w:val="center"/>
        <w:rPr>
          <w:rFonts w:cs="Arial"/>
          <w:sz w:val="22"/>
          <w:szCs w:val="20"/>
        </w:rPr>
      </w:pPr>
    </w:p>
    <w:p w14:paraId="1DF6536F" w14:textId="77777777" w:rsidR="007A4DB8" w:rsidRDefault="007A4DB8" w:rsidP="00F604B7">
      <w:pPr>
        <w:spacing w:after="0"/>
        <w:jc w:val="center"/>
        <w:rPr>
          <w:rFonts w:cs="Arial"/>
          <w:sz w:val="22"/>
          <w:szCs w:val="20"/>
        </w:rPr>
      </w:pPr>
    </w:p>
    <w:p w14:paraId="70DF7492" w14:textId="77777777" w:rsidR="007A4DB8" w:rsidRDefault="007A4DB8" w:rsidP="00F604B7">
      <w:pPr>
        <w:spacing w:after="0"/>
        <w:jc w:val="center"/>
        <w:rPr>
          <w:rFonts w:cs="Arial"/>
          <w:sz w:val="22"/>
          <w:szCs w:val="20"/>
        </w:rPr>
      </w:pPr>
    </w:p>
    <w:p w14:paraId="2C81FEC4" w14:textId="77777777" w:rsidR="007A4DB8" w:rsidRDefault="007A4DB8" w:rsidP="00F604B7">
      <w:pPr>
        <w:spacing w:after="0"/>
        <w:jc w:val="center"/>
        <w:rPr>
          <w:rFonts w:cs="Arial"/>
          <w:sz w:val="22"/>
          <w:szCs w:val="20"/>
        </w:rPr>
      </w:pPr>
    </w:p>
    <w:p w14:paraId="2236013C" w14:textId="77777777" w:rsidR="007A4DB8" w:rsidRDefault="007A4DB8" w:rsidP="00F604B7">
      <w:pPr>
        <w:spacing w:after="0"/>
        <w:jc w:val="center"/>
        <w:rPr>
          <w:rFonts w:cs="Arial"/>
          <w:sz w:val="22"/>
          <w:szCs w:val="20"/>
        </w:rPr>
      </w:pPr>
    </w:p>
    <w:p w14:paraId="1D1F5CAD" w14:textId="77777777" w:rsidR="007A4DB8" w:rsidRDefault="007A4DB8" w:rsidP="00F604B7">
      <w:pPr>
        <w:spacing w:after="0"/>
        <w:jc w:val="center"/>
        <w:rPr>
          <w:rFonts w:cs="Arial"/>
          <w:sz w:val="22"/>
          <w:szCs w:val="20"/>
        </w:rPr>
      </w:pPr>
    </w:p>
    <w:p w14:paraId="0D062854" w14:textId="1EB4E76F" w:rsidR="00F604B7" w:rsidRPr="00346836" w:rsidRDefault="00F604B7" w:rsidP="00F604B7">
      <w:pPr>
        <w:spacing w:after="0"/>
        <w:jc w:val="center"/>
        <w:rPr>
          <w:rFonts w:cs="Arial"/>
          <w:sz w:val="22"/>
          <w:szCs w:val="20"/>
        </w:rPr>
      </w:pPr>
      <w:r w:rsidRPr="00346836">
        <w:rPr>
          <w:rFonts w:cs="Arial"/>
          <w:sz w:val="22"/>
          <w:szCs w:val="20"/>
        </w:rPr>
        <w:lastRenderedPageBreak/>
        <w:t>Figure 2 – Approximate clinical time saved (hours)</w:t>
      </w:r>
    </w:p>
    <w:p w14:paraId="4045D1D8" w14:textId="77777777" w:rsidR="00F604B7" w:rsidRPr="00346836" w:rsidRDefault="00F604B7" w:rsidP="00F604B7">
      <w:pPr>
        <w:spacing w:after="0"/>
        <w:jc w:val="center"/>
        <w:rPr>
          <w:rFonts w:cs="Arial"/>
          <w:sz w:val="22"/>
          <w:szCs w:val="20"/>
        </w:rPr>
      </w:pPr>
      <w:r w:rsidRPr="00346836">
        <w:rPr>
          <w:rFonts w:cs="Arial"/>
          <w:b/>
          <w:noProof/>
          <w:sz w:val="28"/>
          <w:lang w:eastAsia="en-GB"/>
        </w:rPr>
        <w:drawing>
          <wp:inline distT="0" distB="0" distL="0" distR="0" wp14:anchorId="0F5049CB" wp14:editId="162B9E88">
            <wp:extent cx="3742424" cy="2343150"/>
            <wp:effectExtent l="0" t="0" r="0" b="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0"/>
                    <a:stretch>
                      <a:fillRect/>
                    </a:stretch>
                  </pic:blipFill>
                  <pic:spPr>
                    <a:xfrm>
                      <a:off x="0" y="0"/>
                      <a:ext cx="3766112" cy="2357981"/>
                    </a:xfrm>
                    <a:prstGeom prst="rect">
                      <a:avLst/>
                    </a:prstGeom>
                  </pic:spPr>
                </pic:pic>
              </a:graphicData>
            </a:graphic>
          </wp:inline>
        </w:drawing>
      </w:r>
    </w:p>
    <w:p w14:paraId="51900F34" w14:textId="77777777" w:rsidR="00F604B7" w:rsidRPr="00346836" w:rsidRDefault="00F604B7" w:rsidP="00F604B7">
      <w:pPr>
        <w:spacing w:after="0"/>
        <w:jc w:val="center"/>
        <w:rPr>
          <w:rFonts w:cs="Arial"/>
          <w:sz w:val="22"/>
          <w:szCs w:val="20"/>
        </w:rPr>
      </w:pPr>
    </w:p>
    <w:p w14:paraId="1EA41F86" w14:textId="77777777" w:rsidR="00F604B7" w:rsidRPr="00346836" w:rsidRDefault="00F604B7" w:rsidP="00F604B7">
      <w:pPr>
        <w:spacing w:after="0"/>
        <w:jc w:val="center"/>
        <w:rPr>
          <w:rFonts w:cs="Arial"/>
          <w:sz w:val="22"/>
          <w:szCs w:val="20"/>
        </w:rPr>
      </w:pPr>
      <w:r w:rsidRPr="00346836">
        <w:rPr>
          <w:rFonts w:cs="Arial"/>
          <w:sz w:val="22"/>
          <w:szCs w:val="20"/>
        </w:rPr>
        <w:t>Figure 3 – Approximate non-clinical time saved (hours)</w:t>
      </w:r>
    </w:p>
    <w:p w14:paraId="195A2529" w14:textId="77777777" w:rsidR="00F604B7" w:rsidRPr="00346836" w:rsidRDefault="00F604B7" w:rsidP="00F604B7">
      <w:pPr>
        <w:spacing w:after="0"/>
        <w:jc w:val="center"/>
        <w:rPr>
          <w:rFonts w:cs="Arial"/>
          <w:sz w:val="22"/>
          <w:szCs w:val="20"/>
        </w:rPr>
      </w:pPr>
      <w:r w:rsidRPr="00346836">
        <w:rPr>
          <w:rFonts w:cs="Arial"/>
          <w:b/>
          <w:noProof/>
          <w:sz w:val="28"/>
          <w:lang w:eastAsia="en-GB"/>
        </w:rPr>
        <w:drawing>
          <wp:inline distT="0" distB="0" distL="0" distR="0" wp14:anchorId="226D7A36" wp14:editId="5CF622F0">
            <wp:extent cx="3824721" cy="2518410"/>
            <wp:effectExtent l="0" t="0" r="4445"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1"/>
                    <a:stretch>
                      <a:fillRect/>
                    </a:stretch>
                  </pic:blipFill>
                  <pic:spPr>
                    <a:xfrm>
                      <a:off x="0" y="0"/>
                      <a:ext cx="3859748" cy="2541474"/>
                    </a:xfrm>
                    <a:prstGeom prst="rect">
                      <a:avLst/>
                    </a:prstGeom>
                  </pic:spPr>
                </pic:pic>
              </a:graphicData>
            </a:graphic>
          </wp:inline>
        </w:drawing>
      </w:r>
    </w:p>
    <w:p w14:paraId="32504254" w14:textId="77777777" w:rsidR="00F604B7" w:rsidRPr="00346836" w:rsidRDefault="00F604B7" w:rsidP="00F604B7">
      <w:pPr>
        <w:spacing w:after="0" w:line="259" w:lineRule="auto"/>
        <w:rPr>
          <w:rFonts w:cs="Arial"/>
          <w:sz w:val="22"/>
          <w:szCs w:val="20"/>
        </w:rPr>
      </w:pPr>
    </w:p>
    <w:p w14:paraId="4C0D5F57" w14:textId="77777777" w:rsidR="00F604B7" w:rsidRPr="00346836" w:rsidRDefault="00F604B7" w:rsidP="00F604B7">
      <w:pPr>
        <w:pStyle w:val="ListParagraph"/>
        <w:numPr>
          <w:ilvl w:val="0"/>
          <w:numId w:val="13"/>
        </w:numPr>
        <w:spacing w:after="0" w:line="259" w:lineRule="auto"/>
        <w:rPr>
          <w:rFonts w:cs="Arial"/>
          <w:sz w:val="22"/>
          <w:szCs w:val="20"/>
        </w:rPr>
      </w:pPr>
      <w:r w:rsidRPr="00346836">
        <w:rPr>
          <w:rFonts w:cs="Arial"/>
          <w:sz w:val="22"/>
          <w:szCs w:val="20"/>
        </w:rPr>
        <w:t xml:space="preserve">The volunteering team saw a 16% reduction in the total number of volunteers departing after 3 months of inactivity – this went from 293 in 2022/23 to 246 in 2023/24. </w:t>
      </w:r>
    </w:p>
    <w:p w14:paraId="380F69BE" w14:textId="77777777" w:rsidR="00F604B7" w:rsidRPr="00346836" w:rsidRDefault="00F604B7" w:rsidP="00F604B7">
      <w:pPr>
        <w:pStyle w:val="ListParagraph"/>
        <w:spacing w:after="0" w:line="259" w:lineRule="auto"/>
        <w:rPr>
          <w:rFonts w:cs="Arial"/>
          <w:sz w:val="22"/>
          <w:szCs w:val="20"/>
        </w:rPr>
      </w:pPr>
    </w:p>
    <w:p w14:paraId="42586F65" w14:textId="77777777" w:rsidR="00F604B7" w:rsidRPr="00346836" w:rsidRDefault="00F604B7" w:rsidP="00F604B7">
      <w:pPr>
        <w:pStyle w:val="ListParagraph"/>
        <w:numPr>
          <w:ilvl w:val="0"/>
          <w:numId w:val="13"/>
        </w:numPr>
        <w:spacing w:after="0" w:line="259" w:lineRule="auto"/>
        <w:rPr>
          <w:rFonts w:cs="Arial"/>
          <w:sz w:val="22"/>
          <w:szCs w:val="20"/>
        </w:rPr>
      </w:pPr>
      <w:r w:rsidRPr="00346836">
        <w:rPr>
          <w:rFonts w:cs="Arial"/>
          <w:sz w:val="22"/>
          <w:szCs w:val="20"/>
        </w:rPr>
        <w:t>Despite external funding for the Butterfly volunteer programme ending in March 2023, the service has continued to evolve, integrate and expand. In 2023-24, a total of 185 patients were supported at West Middlesex site, which was an increase of 36 from the previous years and an accumulation of 446 hours. The service commenced at the Chelsea site and a total of 107 patients were supported, accumulating in 131 hours. The success of the service has resulted in external funding for a Butterfly Volunteer Manager from February 2024 to February 2025.</w:t>
      </w:r>
    </w:p>
    <w:p w14:paraId="55B65992" w14:textId="77777777" w:rsidR="00F604B7" w:rsidRPr="00346836" w:rsidRDefault="00F604B7" w:rsidP="00F604B7">
      <w:pPr>
        <w:spacing w:after="0"/>
        <w:rPr>
          <w:rFonts w:cs="Arial"/>
          <w:sz w:val="22"/>
          <w:szCs w:val="20"/>
        </w:rPr>
      </w:pPr>
    </w:p>
    <w:p w14:paraId="4F9714BF" w14:textId="77777777" w:rsidR="00F604B7" w:rsidRPr="00346836" w:rsidRDefault="00F604B7" w:rsidP="00F604B7">
      <w:pPr>
        <w:pStyle w:val="ListParagraph"/>
        <w:numPr>
          <w:ilvl w:val="0"/>
          <w:numId w:val="13"/>
        </w:numPr>
        <w:spacing w:after="0" w:line="259" w:lineRule="auto"/>
        <w:rPr>
          <w:rFonts w:cs="Arial"/>
          <w:sz w:val="22"/>
          <w:szCs w:val="20"/>
        </w:rPr>
      </w:pPr>
      <w:r w:rsidRPr="00346836">
        <w:rPr>
          <w:rFonts w:cs="Arial"/>
          <w:sz w:val="22"/>
          <w:szCs w:val="20"/>
        </w:rPr>
        <w:t>The Open Minds pilot was externally funded and commenced in October 2023. Over the 6 month duration, the pilot had supported 10 volunteers, who have a range of neuro-diverse and complex needs, to contribute over 60 hours of volunteering each. 5 of these volunteers have since moved into full time employment both at the trust and externally.</w:t>
      </w:r>
    </w:p>
    <w:p w14:paraId="7203D400" w14:textId="77777777" w:rsidR="00F604B7" w:rsidRPr="00346836" w:rsidRDefault="00F604B7" w:rsidP="00F604B7">
      <w:pPr>
        <w:pStyle w:val="ListParagraph"/>
        <w:rPr>
          <w:rFonts w:cs="Arial"/>
          <w:sz w:val="22"/>
          <w:szCs w:val="20"/>
        </w:rPr>
      </w:pPr>
    </w:p>
    <w:p w14:paraId="17E9046E" w14:textId="77777777" w:rsidR="00F604B7" w:rsidRPr="00346836" w:rsidRDefault="00F604B7" w:rsidP="00F604B7">
      <w:pPr>
        <w:pStyle w:val="ListParagraph"/>
        <w:numPr>
          <w:ilvl w:val="0"/>
          <w:numId w:val="13"/>
        </w:numPr>
        <w:spacing w:after="0" w:line="259" w:lineRule="auto"/>
        <w:rPr>
          <w:rFonts w:cs="Arial"/>
          <w:sz w:val="22"/>
          <w:szCs w:val="20"/>
        </w:rPr>
      </w:pPr>
      <w:r w:rsidRPr="00346836">
        <w:rPr>
          <w:rFonts w:cs="Arial"/>
          <w:sz w:val="22"/>
          <w:szCs w:val="20"/>
        </w:rPr>
        <w:t>Achieved or on a positive trajectory for the team objectives focused on recruiting volunteers with a declared disability and those from ethnic minority backgrounds across both sites.</w:t>
      </w:r>
    </w:p>
    <w:p w14:paraId="615BB053" w14:textId="77777777" w:rsidR="00F604B7" w:rsidRPr="00346836" w:rsidRDefault="00F604B7" w:rsidP="00F604B7">
      <w:pPr>
        <w:spacing w:after="0"/>
        <w:rPr>
          <w:rFonts w:cs="Arial"/>
          <w:sz w:val="22"/>
          <w:szCs w:val="20"/>
        </w:rPr>
      </w:pPr>
    </w:p>
    <w:p w14:paraId="15883B1E" w14:textId="77777777" w:rsidR="00F604B7" w:rsidRPr="00346836" w:rsidRDefault="00F604B7" w:rsidP="00F604B7">
      <w:pPr>
        <w:pStyle w:val="ListParagraph"/>
        <w:numPr>
          <w:ilvl w:val="0"/>
          <w:numId w:val="13"/>
        </w:numPr>
        <w:spacing w:after="0" w:line="259" w:lineRule="auto"/>
        <w:rPr>
          <w:rFonts w:cs="Arial"/>
          <w:sz w:val="22"/>
          <w:szCs w:val="20"/>
        </w:rPr>
      </w:pPr>
      <w:r w:rsidRPr="00346836">
        <w:rPr>
          <w:rFonts w:cs="Arial"/>
          <w:sz w:val="22"/>
          <w:szCs w:val="20"/>
        </w:rPr>
        <w:lastRenderedPageBreak/>
        <w:t xml:space="preserve">Considerable collaboration and relationship building with community volunteering services and educational partners. For West Middlesex, this includes Richmond Volunteering services, Ealing &amp; Hounslow Volunteering services, Brunel College, Richmond upon Thames College, Richmond Adult Hillcroft Community College, Reach Academy, Harrow Richmond and Uxbridge College, Roehampton University and Work Hounslow. At Chelsea, this includes City of Westminster College and South Thames Colleges Group. All collaborations have helped with successful placements for health and social care students or those who have an interest in future NHS careers. </w:t>
      </w:r>
    </w:p>
    <w:p w14:paraId="2650B502" w14:textId="77777777" w:rsidR="00F604B7" w:rsidRPr="00346836" w:rsidRDefault="00F604B7" w:rsidP="00F604B7">
      <w:pPr>
        <w:pStyle w:val="ListParagraph"/>
        <w:rPr>
          <w:rFonts w:cs="Arial"/>
          <w:sz w:val="22"/>
          <w:szCs w:val="20"/>
        </w:rPr>
      </w:pPr>
    </w:p>
    <w:p w14:paraId="013CCFAB" w14:textId="4EA36FCE" w:rsidR="00F604B7" w:rsidRPr="00346836" w:rsidRDefault="00F604B7" w:rsidP="00F604B7">
      <w:pPr>
        <w:pStyle w:val="ListParagraph"/>
        <w:numPr>
          <w:ilvl w:val="0"/>
          <w:numId w:val="13"/>
        </w:numPr>
        <w:spacing w:after="0" w:line="259" w:lineRule="auto"/>
        <w:rPr>
          <w:rFonts w:cs="Arial"/>
          <w:sz w:val="22"/>
          <w:szCs w:val="20"/>
        </w:rPr>
      </w:pPr>
      <w:r w:rsidRPr="00346836">
        <w:rPr>
          <w:rFonts w:cs="Arial"/>
          <w:sz w:val="22"/>
          <w:szCs w:val="20"/>
        </w:rPr>
        <w:t>The Pets As Therapy volunteer offering continued to evolve and expand across both sites, with more therapists being on</w:t>
      </w:r>
      <w:r w:rsidR="00346836">
        <w:rPr>
          <w:rFonts w:cs="Arial"/>
          <w:sz w:val="22"/>
          <w:szCs w:val="20"/>
        </w:rPr>
        <w:t>-</w:t>
      </w:r>
      <w:r w:rsidRPr="00346836">
        <w:rPr>
          <w:rFonts w:cs="Arial"/>
          <w:sz w:val="22"/>
          <w:szCs w:val="20"/>
        </w:rPr>
        <w:t xml:space="preserve">boarded and positive feedback being received from patients and staff. </w:t>
      </w:r>
    </w:p>
    <w:p w14:paraId="14F7809B" w14:textId="77777777" w:rsidR="00F604B7" w:rsidRPr="00346836" w:rsidRDefault="00F604B7" w:rsidP="00F604B7">
      <w:pPr>
        <w:pStyle w:val="ListParagraph"/>
        <w:rPr>
          <w:rFonts w:cs="Arial"/>
          <w:sz w:val="22"/>
          <w:szCs w:val="20"/>
        </w:rPr>
      </w:pPr>
    </w:p>
    <w:p w14:paraId="760D7799" w14:textId="77777777" w:rsidR="00F604B7" w:rsidRPr="00346836" w:rsidRDefault="00F604B7" w:rsidP="00F604B7">
      <w:pPr>
        <w:pStyle w:val="ListParagraph"/>
        <w:numPr>
          <w:ilvl w:val="0"/>
          <w:numId w:val="13"/>
        </w:numPr>
        <w:spacing w:after="0" w:line="259" w:lineRule="auto"/>
        <w:rPr>
          <w:rFonts w:cs="Arial"/>
          <w:sz w:val="22"/>
          <w:szCs w:val="20"/>
        </w:rPr>
      </w:pPr>
      <w:r w:rsidRPr="00346836">
        <w:rPr>
          <w:rFonts w:cs="Arial"/>
          <w:sz w:val="22"/>
          <w:szCs w:val="20"/>
        </w:rPr>
        <w:t>Successfully on boarded, trained and supported more than 20 CW+ paid artists in Chelsea. This programme has evolved over the year and provided support to over 20,000 patients of patients across many different clinical areas. Further recruitment, on boarding and expansions of teams include MediCinema, CW+ Pets As Therapy, Chaplaincy at Chelsea and MacMillan volunteers.</w:t>
      </w:r>
    </w:p>
    <w:p w14:paraId="7DB2243F" w14:textId="77777777" w:rsidR="00F604B7" w:rsidRPr="00346836" w:rsidRDefault="00F604B7" w:rsidP="00F604B7">
      <w:pPr>
        <w:pStyle w:val="ListParagraph"/>
        <w:rPr>
          <w:rFonts w:cs="Arial"/>
          <w:sz w:val="22"/>
          <w:szCs w:val="20"/>
        </w:rPr>
      </w:pPr>
    </w:p>
    <w:p w14:paraId="362590A1" w14:textId="77777777" w:rsidR="00F604B7" w:rsidRPr="00346836" w:rsidRDefault="00F604B7" w:rsidP="00F604B7">
      <w:pPr>
        <w:pStyle w:val="ListParagraph"/>
        <w:numPr>
          <w:ilvl w:val="0"/>
          <w:numId w:val="13"/>
        </w:numPr>
        <w:spacing w:after="0" w:line="259" w:lineRule="auto"/>
        <w:rPr>
          <w:rFonts w:cs="Arial"/>
          <w:sz w:val="22"/>
          <w:szCs w:val="20"/>
        </w:rPr>
      </w:pPr>
      <w:r w:rsidRPr="00346836">
        <w:rPr>
          <w:rFonts w:cs="Arial"/>
          <w:sz w:val="22"/>
          <w:szCs w:val="20"/>
        </w:rPr>
        <w:t>Continued bi-monthly volunteering newsletters for volunteers, partners and trust colleagues to create a sense of belonging within the volunteer community for the trust. Volunteers have stated this is informative and makes them feel a part of the team.</w:t>
      </w:r>
    </w:p>
    <w:p w14:paraId="5A2A412F" w14:textId="77777777" w:rsidR="00F604B7" w:rsidRPr="00346836" w:rsidRDefault="00F604B7" w:rsidP="00F604B7">
      <w:pPr>
        <w:spacing w:after="0"/>
        <w:rPr>
          <w:rFonts w:cs="Arial"/>
          <w:sz w:val="22"/>
          <w:szCs w:val="20"/>
        </w:rPr>
      </w:pPr>
    </w:p>
    <w:p w14:paraId="221399F8" w14:textId="77777777" w:rsidR="00F604B7" w:rsidRPr="00346836" w:rsidRDefault="00F604B7" w:rsidP="00F604B7">
      <w:pPr>
        <w:pStyle w:val="ListParagraph"/>
        <w:numPr>
          <w:ilvl w:val="0"/>
          <w:numId w:val="13"/>
        </w:numPr>
        <w:spacing w:after="0" w:line="259" w:lineRule="auto"/>
        <w:rPr>
          <w:rFonts w:cs="Arial"/>
          <w:sz w:val="22"/>
          <w:szCs w:val="20"/>
        </w:rPr>
      </w:pPr>
      <w:r w:rsidRPr="00346836">
        <w:rPr>
          <w:rFonts w:cs="Arial"/>
          <w:sz w:val="22"/>
          <w:szCs w:val="20"/>
        </w:rPr>
        <w:t>Creation of a wellbeing volunteer role across both sites in response to requests from wards to offer companionships to patients who are admitted for prolonged periods of time. This role has already received positive feedback from patients and staff.</w:t>
      </w:r>
    </w:p>
    <w:p w14:paraId="6506762A" w14:textId="77777777" w:rsidR="00F604B7" w:rsidRPr="00346836" w:rsidRDefault="00F604B7" w:rsidP="00F604B7">
      <w:pPr>
        <w:spacing w:after="0"/>
        <w:rPr>
          <w:rFonts w:cs="Arial"/>
          <w:sz w:val="22"/>
          <w:szCs w:val="20"/>
        </w:rPr>
      </w:pPr>
    </w:p>
    <w:p w14:paraId="43F01681" w14:textId="77777777" w:rsidR="00F604B7" w:rsidRPr="00346836" w:rsidRDefault="00F604B7" w:rsidP="00F604B7">
      <w:pPr>
        <w:spacing w:after="0"/>
        <w:rPr>
          <w:rFonts w:cs="Arial"/>
          <w:sz w:val="22"/>
          <w:szCs w:val="20"/>
        </w:rPr>
      </w:pPr>
      <w:r w:rsidRPr="00346836">
        <w:rPr>
          <w:rFonts w:cs="Arial"/>
          <w:sz w:val="22"/>
          <w:szCs w:val="20"/>
        </w:rPr>
        <w:t>Despite the successes noted above, there have been a number of challenges or limited progress against some of the objectives and volunteering work streams. These have been outlined below:</w:t>
      </w:r>
    </w:p>
    <w:p w14:paraId="6C9C2642" w14:textId="77777777" w:rsidR="00F604B7" w:rsidRPr="00346836" w:rsidRDefault="00F604B7" w:rsidP="00F604B7">
      <w:pPr>
        <w:spacing w:after="0"/>
        <w:rPr>
          <w:rFonts w:cs="Arial"/>
          <w:sz w:val="22"/>
          <w:szCs w:val="20"/>
        </w:rPr>
      </w:pPr>
    </w:p>
    <w:p w14:paraId="3D74922F" w14:textId="77777777" w:rsidR="00F604B7" w:rsidRPr="00346836" w:rsidRDefault="00F604B7" w:rsidP="00F604B7">
      <w:pPr>
        <w:pStyle w:val="ListParagraph"/>
        <w:numPr>
          <w:ilvl w:val="0"/>
          <w:numId w:val="13"/>
        </w:numPr>
        <w:spacing w:after="160" w:line="259" w:lineRule="auto"/>
        <w:rPr>
          <w:rFonts w:cs="Arial"/>
          <w:sz w:val="22"/>
        </w:rPr>
      </w:pPr>
      <w:r w:rsidRPr="00346836">
        <w:rPr>
          <w:rFonts w:cs="Arial"/>
          <w:sz w:val="22"/>
        </w:rPr>
        <w:t>Historically the volunteering team have been reactive to the needs and demands of the trust, with a key component of this being the creation of ad-hoc volunteer roles and associated recruitment activities to fill posts; this continued into the 2023-24 year. Not all of these newly created roles have been successful or sustained over a long period; reasons for this include the ever changing needs and pressures of clinical services changing, and the subsequent impact this has on staff lead’s availability. This has meant significant volunteer time and resource could have been focused elsewhere, including key strategic objectives</w:t>
      </w:r>
    </w:p>
    <w:p w14:paraId="3C18F79B" w14:textId="77777777" w:rsidR="00F604B7" w:rsidRPr="00346836" w:rsidRDefault="00F604B7" w:rsidP="00F604B7">
      <w:pPr>
        <w:pStyle w:val="ListParagraph"/>
        <w:rPr>
          <w:rFonts w:cs="Arial"/>
          <w:sz w:val="22"/>
        </w:rPr>
      </w:pPr>
    </w:p>
    <w:p w14:paraId="7BF11889" w14:textId="673E36B2" w:rsidR="00F604B7" w:rsidRDefault="00F604B7" w:rsidP="00346836">
      <w:pPr>
        <w:pStyle w:val="ListParagraph"/>
        <w:numPr>
          <w:ilvl w:val="0"/>
          <w:numId w:val="13"/>
        </w:numPr>
        <w:spacing w:after="0" w:line="259" w:lineRule="auto"/>
        <w:rPr>
          <w:rFonts w:cs="Arial"/>
          <w:sz w:val="22"/>
          <w:szCs w:val="20"/>
        </w:rPr>
      </w:pPr>
      <w:r w:rsidRPr="00346836">
        <w:rPr>
          <w:rFonts w:cs="Arial"/>
          <w:sz w:val="22"/>
          <w:szCs w:val="20"/>
        </w:rPr>
        <w:t xml:space="preserve">Some of the desired volunteer roles and support, outlined in the strategy, have not commenced due to other trust priorities requiring support. This includes the volunteer to career and youth pathways. </w:t>
      </w:r>
    </w:p>
    <w:p w14:paraId="58C5391B" w14:textId="5797FD30" w:rsidR="005F723E" w:rsidRPr="00346836" w:rsidRDefault="005F723E" w:rsidP="00346836">
      <w:pPr>
        <w:spacing w:after="0" w:line="259" w:lineRule="auto"/>
        <w:rPr>
          <w:rFonts w:cs="Arial"/>
          <w:sz w:val="22"/>
          <w:szCs w:val="20"/>
        </w:rPr>
      </w:pPr>
    </w:p>
    <w:p w14:paraId="6B474CC8" w14:textId="337FD4E7" w:rsidR="00F604B7" w:rsidRPr="00346836" w:rsidRDefault="00F604B7" w:rsidP="00F604B7">
      <w:pPr>
        <w:pStyle w:val="ListParagraph"/>
        <w:numPr>
          <w:ilvl w:val="0"/>
          <w:numId w:val="13"/>
        </w:numPr>
        <w:spacing w:after="0" w:line="259" w:lineRule="auto"/>
        <w:rPr>
          <w:rFonts w:cs="Arial"/>
          <w:sz w:val="22"/>
          <w:szCs w:val="20"/>
        </w:rPr>
      </w:pPr>
      <w:r w:rsidRPr="00346836">
        <w:rPr>
          <w:rFonts w:cs="Arial"/>
          <w:sz w:val="22"/>
          <w:szCs w:val="20"/>
        </w:rPr>
        <w:t xml:space="preserve">There have been some extremely engaged areas who will provide a supportive and inclusive environment to volunteers that have been assigned there; however, there has been retention issues in areas where volunteers have not felt that sense of belonging or being given sufficient tasks to complete. </w:t>
      </w:r>
      <w:r w:rsidR="005F723E">
        <w:rPr>
          <w:rFonts w:cs="Arial"/>
          <w:sz w:val="22"/>
          <w:szCs w:val="20"/>
        </w:rPr>
        <w:t>As of 2024-25 year, the volunteering service is looking to move to a more clinically led and integrated model, which with the right support, direction and training, will hopefully give them a greater sense of belonging in departments but also gain greater buy in from clinical teams.</w:t>
      </w:r>
    </w:p>
    <w:p w14:paraId="08B85EF5" w14:textId="69D0712E" w:rsidR="003D1F59" w:rsidRDefault="003D1F59" w:rsidP="004B328D">
      <w:pPr>
        <w:spacing w:after="200" w:line="276" w:lineRule="auto"/>
        <w:jc w:val="both"/>
        <w:rPr>
          <w:rFonts w:cs="Arial"/>
          <w:b/>
          <w:noProof/>
          <w:szCs w:val="22"/>
          <w:lang w:eastAsia="en-GB"/>
        </w:rPr>
      </w:pPr>
    </w:p>
    <w:p w14:paraId="4C528039" w14:textId="05840A83" w:rsidR="00D442DD" w:rsidRPr="0043188A" w:rsidRDefault="00B81699" w:rsidP="004B328D">
      <w:pPr>
        <w:spacing w:after="200" w:line="276" w:lineRule="auto"/>
        <w:jc w:val="both"/>
        <w:rPr>
          <w:rFonts w:cs="Arial"/>
          <w:b/>
          <w:noProof/>
          <w:szCs w:val="22"/>
          <w:lang w:eastAsia="en-GB"/>
        </w:rPr>
      </w:pPr>
      <w:r>
        <w:rPr>
          <w:rFonts w:cs="Arial"/>
          <w:b/>
          <w:noProof/>
          <w:szCs w:val="22"/>
          <w:lang w:eastAsia="en-GB"/>
        </w:rPr>
        <w:lastRenderedPageBreak/>
        <w:t>1</w:t>
      </w:r>
      <w:r w:rsidR="003D1F59">
        <w:rPr>
          <w:rFonts w:cs="Arial"/>
          <w:b/>
          <w:noProof/>
          <w:szCs w:val="22"/>
          <w:lang w:eastAsia="en-GB"/>
        </w:rPr>
        <w:t>7</w:t>
      </w:r>
      <w:r>
        <w:rPr>
          <w:rFonts w:cs="Arial"/>
          <w:b/>
          <w:noProof/>
          <w:szCs w:val="22"/>
          <w:lang w:eastAsia="en-GB"/>
        </w:rPr>
        <w:t xml:space="preserve">. </w:t>
      </w:r>
      <w:r w:rsidR="00D442DD" w:rsidRPr="0043188A">
        <w:rPr>
          <w:rFonts w:cs="Arial"/>
          <w:b/>
          <w:noProof/>
          <w:szCs w:val="22"/>
          <w:lang w:eastAsia="en-GB"/>
        </w:rPr>
        <w:t>Patient Information</w:t>
      </w:r>
    </w:p>
    <w:p w14:paraId="56F3CE8F" w14:textId="68D566E1" w:rsidR="00402AA4" w:rsidRDefault="00402AA4" w:rsidP="004B328D">
      <w:pPr>
        <w:spacing w:after="200"/>
        <w:jc w:val="both"/>
        <w:rPr>
          <w:rFonts w:cs="Arial"/>
          <w:noProof/>
          <w:sz w:val="22"/>
          <w:szCs w:val="22"/>
          <w:lang w:eastAsia="en-GB"/>
        </w:rPr>
      </w:pPr>
      <w:r>
        <w:rPr>
          <w:rFonts w:cs="Arial"/>
          <w:noProof/>
          <w:sz w:val="22"/>
          <w:szCs w:val="22"/>
          <w:lang w:eastAsia="en-GB"/>
        </w:rPr>
        <w:t>At the start of 2023-24 there was a total of 4</w:t>
      </w:r>
      <w:r w:rsidR="00C16368">
        <w:rPr>
          <w:rFonts w:cs="Arial"/>
          <w:noProof/>
          <w:sz w:val="22"/>
          <w:szCs w:val="22"/>
          <w:lang w:eastAsia="en-GB"/>
        </w:rPr>
        <w:t>95 published on the external Trus</w:t>
      </w:r>
      <w:r>
        <w:rPr>
          <w:rFonts w:cs="Arial"/>
          <w:noProof/>
          <w:sz w:val="22"/>
          <w:szCs w:val="22"/>
          <w:lang w:eastAsia="en-GB"/>
        </w:rPr>
        <w:t xml:space="preserve">t website; of this 495, the trust </w:t>
      </w:r>
      <w:r w:rsidR="00CC06A4">
        <w:rPr>
          <w:rFonts w:cs="Arial"/>
          <w:noProof/>
          <w:sz w:val="22"/>
          <w:szCs w:val="22"/>
          <w:lang w:eastAsia="en-GB"/>
        </w:rPr>
        <w:t>had</w:t>
      </w:r>
      <w:r>
        <w:rPr>
          <w:rFonts w:cs="Arial"/>
          <w:noProof/>
          <w:sz w:val="22"/>
          <w:szCs w:val="22"/>
          <w:lang w:eastAsia="en-GB"/>
        </w:rPr>
        <w:t xml:space="preserve"> assurance that 30% (n-148) </w:t>
      </w:r>
      <w:r w:rsidR="00CC06A4">
        <w:rPr>
          <w:rFonts w:cs="Arial"/>
          <w:noProof/>
          <w:sz w:val="22"/>
          <w:szCs w:val="22"/>
          <w:lang w:eastAsia="en-GB"/>
        </w:rPr>
        <w:t>were</w:t>
      </w:r>
      <w:r>
        <w:rPr>
          <w:rFonts w:cs="Arial"/>
          <w:noProof/>
          <w:sz w:val="22"/>
          <w:szCs w:val="22"/>
          <w:lang w:eastAsia="en-GB"/>
        </w:rPr>
        <w:t xml:space="preserve"> accurate and </w:t>
      </w:r>
      <w:r w:rsidR="00CC06A4">
        <w:rPr>
          <w:rFonts w:cs="Arial"/>
          <w:noProof/>
          <w:sz w:val="22"/>
          <w:szCs w:val="22"/>
          <w:lang w:eastAsia="en-GB"/>
        </w:rPr>
        <w:t xml:space="preserve">contained </w:t>
      </w:r>
      <w:r>
        <w:rPr>
          <w:rFonts w:cs="Arial"/>
          <w:noProof/>
          <w:sz w:val="22"/>
          <w:szCs w:val="22"/>
          <w:lang w:eastAsia="en-GB"/>
        </w:rPr>
        <w:t>up to date information. At the end of 23-24, 60% of leaflets were updated by services with support of the patient experience team. The 40% that were not reviewed or updated are no longer available to patients and public, due to the risk associated with inaccurate information.</w:t>
      </w:r>
    </w:p>
    <w:p w14:paraId="2F81D88C" w14:textId="56DC15DB" w:rsidR="00D442DD" w:rsidRPr="0043188A" w:rsidRDefault="0043188A">
      <w:pPr>
        <w:spacing w:after="200" w:line="276" w:lineRule="auto"/>
        <w:rPr>
          <w:rFonts w:cs="Arial"/>
          <w:b/>
          <w:noProof/>
          <w:szCs w:val="22"/>
          <w:lang w:eastAsia="en-GB"/>
        </w:rPr>
      </w:pPr>
      <w:r w:rsidRPr="0043188A">
        <w:rPr>
          <w:rFonts w:cs="Arial"/>
          <w:b/>
          <w:noProof/>
          <w:szCs w:val="22"/>
          <w:lang w:eastAsia="en-GB"/>
        </w:rPr>
        <w:t>1</w:t>
      </w:r>
      <w:r w:rsidR="003D1F59">
        <w:rPr>
          <w:rFonts w:cs="Arial"/>
          <w:b/>
          <w:noProof/>
          <w:szCs w:val="22"/>
          <w:lang w:eastAsia="en-GB"/>
        </w:rPr>
        <w:t>8</w:t>
      </w:r>
      <w:r w:rsidRPr="0043188A">
        <w:rPr>
          <w:rFonts w:cs="Arial"/>
          <w:b/>
          <w:noProof/>
          <w:szCs w:val="22"/>
          <w:lang w:eastAsia="en-GB"/>
        </w:rPr>
        <w:t xml:space="preserve">. </w:t>
      </w:r>
      <w:r w:rsidR="009A7879" w:rsidRPr="0043188A">
        <w:rPr>
          <w:rFonts w:cs="Arial"/>
          <w:b/>
          <w:noProof/>
          <w:szCs w:val="22"/>
          <w:lang w:eastAsia="en-GB"/>
        </w:rPr>
        <w:t>Local Surveys</w:t>
      </w:r>
    </w:p>
    <w:p w14:paraId="38EE70B8" w14:textId="1558B62D" w:rsidR="006679B9" w:rsidRDefault="00402AA4">
      <w:pPr>
        <w:spacing w:after="200" w:line="276" w:lineRule="auto"/>
        <w:rPr>
          <w:rFonts w:cs="Arial"/>
          <w:noProof/>
          <w:sz w:val="22"/>
          <w:szCs w:val="22"/>
          <w:lang w:eastAsia="en-GB"/>
        </w:rPr>
      </w:pPr>
      <w:r>
        <w:rPr>
          <w:rFonts w:cs="Arial"/>
          <w:noProof/>
          <w:sz w:val="22"/>
          <w:szCs w:val="22"/>
          <w:lang w:eastAsia="en-GB"/>
        </w:rPr>
        <w:t xml:space="preserve">The patient experience continues to support services and division will their local survey programmes. Survey results and acton plans are governed at a local level and reported at the PPEEG. </w:t>
      </w:r>
    </w:p>
    <w:p w14:paraId="1BE24A65" w14:textId="676A3AF0" w:rsidR="00887CDE" w:rsidRDefault="00887CDE" w:rsidP="00887CDE">
      <w:pPr>
        <w:spacing w:after="200" w:line="276" w:lineRule="auto"/>
        <w:rPr>
          <w:rFonts w:cs="Arial"/>
          <w:b/>
          <w:noProof/>
          <w:szCs w:val="22"/>
          <w:lang w:eastAsia="en-GB"/>
        </w:rPr>
      </w:pPr>
      <w:r w:rsidRPr="0043188A">
        <w:rPr>
          <w:rFonts w:cs="Arial"/>
          <w:b/>
          <w:noProof/>
          <w:szCs w:val="22"/>
          <w:lang w:eastAsia="en-GB"/>
        </w:rPr>
        <w:t>1</w:t>
      </w:r>
      <w:r>
        <w:rPr>
          <w:rFonts w:cs="Arial"/>
          <w:b/>
          <w:noProof/>
          <w:szCs w:val="22"/>
          <w:lang w:eastAsia="en-GB"/>
        </w:rPr>
        <w:t>9</w:t>
      </w:r>
      <w:r w:rsidRPr="0043188A">
        <w:rPr>
          <w:rFonts w:cs="Arial"/>
          <w:b/>
          <w:noProof/>
          <w:szCs w:val="22"/>
          <w:lang w:eastAsia="en-GB"/>
        </w:rPr>
        <w:t xml:space="preserve">. </w:t>
      </w:r>
      <w:r>
        <w:rPr>
          <w:rFonts w:cs="Arial"/>
          <w:b/>
          <w:noProof/>
          <w:szCs w:val="22"/>
          <w:lang w:eastAsia="en-GB"/>
        </w:rPr>
        <w:t>Other</w:t>
      </w:r>
    </w:p>
    <w:p w14:paraId="275C3F80" w14:textId="1991DEF8" w:rsidR="0098074B" w:rsidRDefault="00887CDE" w:rsidP="00887CDE">
      <w:pPr>
        <w:spacing w:after="200" w:line="276" w:lineRule="auto"/>
        <w:rPr>
          <w:rFonts w:cs="Arial"/>
          <w:noProof/>
          <w:sz w:val="22"/>
          <w:szCs w:val="22"/>
          <w:lang w:eastAsia="en-GB"/>
        </w:rPr>
      </w:pPr>
      <w:r w:rsidRPr="00346836">
        <w:rPr>
          <w:rFonts w:cs="Arial"/>
          <w:noProof/>
          <w:sz w:val="22"/>
          <w:szCs w:val="22"/>
          <w:lang w:eastAsia="en-GB"/>
        </w:rPr>
        <w:t>The Trust</w:t>
      </w:r>
      <w:r w:rsidR="0098074B">
        <w:rPr>
          <w:rFonts w:cs="Arial"/>
          <w:noProof/>
          <w:sz w:val="22"/>
          <w:szCs w:val="22"/>
          <w:lang w:eastAsia="en-GB"/>
        </w:rPr>
        <w:t xml:space="preserve"> undertook the national Patient Led Assessments of the Care Environment (PLACE) in October and November 2023. There was strong representation from our patients and public, with over 15 patient assessors supporting with this programme</w:t>
      </w:r>
      <w:r w:rsidR="009B2445">
        <w:rPr>
          <w:rFonts w:cs="Arial"/>
          <w:noProof/>
          <w:sz w:val="22"/>
          <w:szCs w:val="22"/>
          <w:lang w:eastAsia="en-GB"/>
        </w:rPr>
        <w:t xml:space="preserve"> across both hospital sites</w:t>
      </w:r>
      <w:r w:rsidR="0098074B">
        <w:rPr>
          <w:rFonts w:cs="Arial"/>
          <w:noProof/>
          <w:sz w:val="22"/>
          <w:szCs w:val="22"/>
          <w:lang w:eastAsia="en-GB"/>
        </w:rPr>
        <w:t xml:space="preserve">. Improvements were noted in food service in addition to the environment in which we care for those with dementia and disabilities. </w:t>
      </w:r>
    </w:p>
    <w:p w14:paraId="62E3AEA1" w14:textId="4C8310D8" w:rsidR="0098074B" w:rsidRDefault="0098074B" w:rsidP="00887CDE">
      <w:pPr>
        <w:spacing w:after="200" w:line="276" w:lineRule="auto"/>
        <w:rPr>
          <w:rFonts w:cs="Arial"/>
          <w:noProof/>
          <w:sz w:val="22"/>
          <w:szCs w:val="22"/>
          <w:lang w:eastAsia="en-GB"/>
        </w:rPr>
      </w:pPr>
      <w:r>
        <w:rPr>
          <w:rFonts w:cs="Arial"/>
          <w:noProof/>
          <w:sz w:val="22"/>
          <w:szCs w:val="22"/>
          <w:lang w:eastAsia="en-GB"/>
        </w:rPr>
        <w:t xml:space="preserve">Healthwatch Kensington &amp; Chelsea and Healthwatch Hammersmith &amp; Fulham hosted a stall in September 2023 to help engage with our patients (and their families) who access care at Chelsea and Westminster Hospital. </w:t>
      </w:r>
    </w:p>
    <w:p w14:paraId="0440995E" w14:textId="22E37353" w:rsidR="0098074B" w:rsidRDefault="0098074B" w:rsidP="00887CDE">
      <w:pPr>
        <w:spacing w:after="200" w:line="276" w:lineRule="auto"/>
        <w:rPr>
          <w:rFonts w:cs="Arial"/>
          <w:noProof/>
          <w:sz w:val="22"/>
          <w:szCs w:val="22"/>
          <w:lang w:eastAsia="en-GB"/>
        </w:rPr>
      </w:pPr>
      <w:r>
        <w:rPr>
          <w:rFonts w:cs="Arial"/>
          <w:noProof/>
          <w:sz w:val="22"/>
          <w:szCs w:val="22"/>
          <w:lang w:eastAsia="en-GB"/>
        </w:rPr>
        <w:t xml:space="preserve">Healthwatch Kensington &amp; Chelsea, Healthwatch Westminster and Healthwatch Hammersmith &amp; Fulham are planning to undertake an Enter and View visit of the Chelsea and Westminster Hospital Outpatient areas in April 2024. This has been agreed following themes seen in their published quarterly patient experience reports. </w:t>
      </w:r>
    </w:p>
    <w:p w14:paraId="24206AC9" w14:textId="77777777" w:rsidR="0098074B" w:rsidRDefault="0098074B" w:rsidP="00887CDE">
      <w:pPr>
        <w:spacing w:after="200" w:line="276" w:lineRule="auto"/>
        <w:rPr>
          <w:rFonts w:cs="Arial"/>
          <w:noProof/>
          <w:sz w:val="22"/>
          <w:szCs w:val="22"/>
          <w:lang w:eastAsia="en-GB"/>
        </w:rPr>
      </w:pPr>
      <w:r>
        <w:rPr>
          <w:rFonts w:cs="Arial"/>
          <w:noProof/>
          <w:sz w:val="22"/>
          <w:szCs w:val="22"/>
          <w:lang w:eastAsia="en-GB"/>
        </w:rPr>
        <w:t>Healthwatch Kensington &amp; Chelsea and Healthwatch Westminster are planning to host monthly stalls at the Chelsea and Westminster Hospital site throughout the 2024-25 year.</w:t>
      </w:r>
    </w:p>
    <w:p w14:paraId="2D3C8906" w14:textId="15A8A4C3" w:rsidR="0098074B" w:rsidRPr="00346836" w:rsidRDefault="0098074B" w:rsidP="00887CDE">
      <w:pPr>
        <w:spacing w:after="200" w:line="276" w:lineRule="auto"/>
        <w:rPr>
          <w:rFonts w:cs="Arial"/>
          <w:noProof/>
          <w:sz w:val="22"/>
          <w:szCs w:val="22"/>
          <w:lang w:eastAsia="en-GB"/>
        </w:rPr>
      </w:pPr>
      <w:r>
        <w:rPr>
          <w:rFonts w:cs="Arial"/>
          <w:noProof/>
          <w:sz w:val="22"/>
          <w:szCs w:val="22"/>
          <w:lang w:eastAsia="en-GB"/>
        </w:rPr>
        <w:t xml:space="preserve">The Trust will continue to engage with Healthwatch Richmond and Healthwatch Hounslow, to explore involvement opportunities and better ways to improve the experience of patients accessing care at West Middlesex University Hospital. </w:t>
      </w:r>
    </w:p>
    <w:p w14:paraId="38FA2148" w14:textId="77777777" w:rsidR="002D1C7E" w:rsidRDefault="002D1C7E">
      <w:pPr>
        <w:spacing w:after="200" w:line="276" w:lineRule="auto"/>
        <w:rPr>
          <w:b/>
          <w:color w:val="000000"/>
          <w:sz w:val="20"/>
        </w:rPr>
      </w:pPr>
      <w:r>
        <w:rPr>
          <w:b/>
          <w:color w:val="000000"/>
          <w:sz w:val="20"/>
        </w:rPr>
        <w:br w:type="page"/>
      </w:r>
    </w:p>
    <w:p w14:paraId="62EEB9A7" w14:textId="174E274F" w:rsidR="004540A7" w:rsidRPr="002D1C7E" w:rsidRDefault="004540A7" w:rsidP="004540A7">
      <w:pPr>
        <w:rPr>
          <w:rFonts w:cs="Arial"/>
          <w:b/>
          <w:sz w:val="22"/>
          <w:szCs w:val="22"/>
        </w:rPr>
      </w:pPr>
      <w:r w:rsidRPr="002D1C7E">
        <w:rPr>
          <w:rFonts w:cs="Arial"/>
          <w:b/>
          <w:color w:val="000000"/>
          <w:sz w:val="22"/>
          <w:szCs w:val="22"/>
        </w:rPr>
        <w:lastRenderedPageBreak/>
        <w:t xml:space="preserve">Appendix </w:t>
      </w:r>
      <w:r w:rsidR="00622805">
        <w:rPr>
          <w:rFonts w:cs="Arial"/>
          <w:b/>
          <w:color w:val="000000"/>
          <w:sz w:val="22"/>
          <w:szCs w:val="22"/>
        </w:rPr>
        <w:t>1</w:t>
      </w:r>
      <w:r w:rsidRPr="002D1C7E">
        <w:rPr>
          <w:rFonts w:cs="Arial"/>
          <w:b/>
          <w:color w:val="000000"/>
          <w:sz w:val="22"/>
          <w:szCs w:val="22"/>
        </w:rPr>
        <w:t xml:space="preserve"> - </w:t>
      </w:r>
      <w:r w:rsidRPr="002D1C7E">
        <w:rPr>
          <w:rFonts w:cs="Arial"/>
          <w:b/>
          <w:sz w:val="22"/>
          <w:szCs w:val="22"/>
        </w:rPr>
        <w:t xml:space="preserve">Formal complaints and PALS concerns received April 2023-March 2024 </w:t>
      </w:r>
    </w:p>
    <w:p w14:paraId="7B552889" w14:textId="08F112EC" w:rsidR="004540A7" w:rsidRPr="002D1C7E" w:rsidRDefault="004540A7" w:rsidP="004540A7">
      <w:pPr>
        <w:pStyle w:val="NoSpacing"/>
        <w:jc w:val="both"/>
        <w:rPr>
          <w:rFonts w:ascii="Arial" w:hAnsi="Arial" w:cs="Arial"/>
        </w:rPr>
      </w:pPr>
      <w:r w:rsidRPr="002D1C7E">
        <w:rPr>
          <w:rFonts w:ascii="Arial" w:hAnsi="Arial" w:cs="Arial"/>
        </w:rPr>
        <w:t xml:space="preserve">The Trust received 458 complaints during the year (compared with 481 the previous year) with 282 received on the Chelsea </w:t>
      </w:r>
      <w:r w:rsidR="00CE71E2">
        <w:rPr>
          <w:rFonts w:ascii="Arial" w:hAnsi="Arial" w:cs="Arial"/>
        </w:rPr>
        <w:t xml:space="preserve">and Westminster </w:t>
      </w:r>
      <w:r w:rsidRPr="002D1C7E">
        <w:rPr>
          <w:rFonts w:ascii="Arial" w:hAnsi="Arial" w:cs="Arial"/>
        </w:rPr>
        <w:t xml:space="preserve">site, 175 at West Middlesex </w:t>
      </w:r>
      <w:r w:rsidR="00CE71E2">
        <w:rPr>
          <w:rFonts w:ascii="Arial" w:hAnsi="Arial" w:cs="Arial"/>
        </w:rPr>
        <w:t>site</w:t>
      </w:r>
      <w:r w:rsidR="00CE71E2" w:rsidRPr="002D1C7E">
        <w:rPr>
          <w:rFonts w:ascii="Arial" w:hAnsi="Arial" w:cs="Arial"/>
        </w:rPr>
        <w:t xml:space="preserve"> </w:t>
      </w:r>
      <w:r w:rsidRPr="002D1C7E">
        <w:rPr>
          <w:rFonts w:ascii="Arial" w:hAnsi="Arial" w:cs="Arial"/>
        </w:rPr>
        <w:t xml:space="preserve">and one for community clinics.   </w:t>
      </w:r>
    </w:p>
    <w:p w14:paraId="0D010D0E" w14:textId="77777777" w:rsidR="004540A7" w:rsidRPr="002D1C7E" w:rsidRDefault="004540A7" w:rsidP="004540A7">
      <w:pPr>
        <w:pStyle w:val="NoSpacing"/>
        <w:jc w:val="both"/>
        <w:rPr>
          <w:rFonts w:ascii="Arial" w:hAnsi="Arial" w:cs="Arial"/>
        </w:rPr>
      </w:pPr>
    </w:p>
    <w:p w14:paraId="7C5E7A2B" w14:textId="77777777" w:rsidR="004540A7" w:rsidRPr="002D1C7E" w:rsidRDefault="004540A7" w:rsidP="004540A7">
      <w:pPr>
        <w:pStyle w:val="NoSpacing"/>
        <w:jc w:val="both"/>
        <w:rPr>
          <w:rFonts w:ascii="Arial" w:hAnsi="Arial" w:cs="Arial"/>
        </w:rPr>
      </w:pPr>
      <w:r w:rsidRPr="002D1C7E">
        <w:rPr>
          <w:rFonts w:ascii="Arial" w:hAnsi="Arial" w:cs="Arial"/>
          <w:noProof/>
          <w:lang w:eastAsia="en-GB"/>
        </w:rPr>
        <w:drawing>
          <wp:inline distT="0" distB="0" distL="0" distR="0" wp14:anchorId="72F5C7DD" wp14:editId="5A016E5B">
            <wp:extent cx="6645910" cy="4421505"/>
            <wp:effectExtent l="0" t="0" r="2540" b="1714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F81CAA4" w14:textId="77777777" w:rsidR="004540A7" w:rsidRPr="002D1C7E" w:rsidRDefault="004540A7" w:rsidP="004540A7">
      <w:pPr>
        <w:pStyle w:val="NoSpacing"/>
        <w:rPr>
          <w:rFonts w:ascii="Arial" w:hAnsi="Arial" w:cs="Arial"/>
          <w:i/>
          <w:sz w:val="20"/>
        </w:rPr>
      </w:pPr>
      <w:r w:rsidRPr="002D1C7E">
        <w:rPr>
          <w:rFonts w:ascii="Arial" w:hAnsi="Arial" w:cs="Arial"/>
          <w:i/>
          <w:sz w:val="20"/>
        </w:rPr>
        <w:t>Formal complaints by month and year, April 2022 – March 2024</w:t>
      </w:r>
    </w:p>
    <w:p w14:paraId="4147DBB5" w14:textId="77777777" w:rsidR="004540A7" w:rsidRPr="002D1C7E" w:rsidRDefault="004540A7" w:rsidP="004540A7">
      <w:pPr>
        <w:spacing w:after="0"/>
        <w:rPr>
          <w:rFonts w:cs="Arial"/>
        </w:rPr>
      </w:pPr>
    </w:p>
    <w:p w14:paraId="64572835" w14:textId="77777777" w:rsidR="00346836" w:rsidRDefault="00346836" w:rsidP="004540A7">
      <w:pPr>
        <w:spacing w:after="0"/>
        <w:rPr>
          <w:rFonts w:cs="Arial"/>
        </w:rPr>
      </w:pPr>
    </w:p>
    <w:p w14:paraId="64A700BD" w14:textId="77777777" w:rsidR="00346836" w:rsidRDefault="00346836" w:rsidP="004540A7">
      <w:pPr>
        <w:spacing w:after="0"/>
        <w:rPr>
          <w:rFonts w:cs="Arial"/>
        </w:rPr>
      </w:pPr>
    </w:p>
    <w:p w14:paraId="4C982FCA" w14:textId="77777777" w:rsidR="00346836" w:rsidRDefault="00346836" w:rsidP="004540A7">
      <w:pPr>
        <w:spacing w:after="0"/>
        <w:rPr>
          <w:rFonts w:cs="Arial"/>
        </w:rPr>
      </w:pPr>
    </w:p>
    <w:p w14:paraId="4B361670" w14:textId="77777777" w:rsidR="00346836" w:rsidRDefault="00346836" w:rsidP="004540A7">
      <w:pPr>
        <w:spacing w:after="0"/>
        <w:rPr>
          <w:rFonts w:cs="Arial"/>
        </w:rPr>
      </w:pPr>
    </w:p>
    <w:p w14:paraId="582614A9" w14:textId="77777777" w:rsidR="00346836" w:rsidRDefault="00346836" w:rsidP="004540A7">
      <w:pPr>
        <w:spacing w:after="0"/>
        <w:rPr>
          <w:rFonts w:cs="Arial"/>
        </w:rPr>
      </w:pPr>
    </w:p>
    <w:p w14:paraId="578EBBE7" w14:textId="77777777" w:rsidR="00346836" w:rsidRDefault="00346836" w:rsidP="004540A7">
      <w:pPr>
        <w:spacing w:after="0"/>
        <w:rPr>
          <w:rFonts w:cs="Arial"/>
        </w:rPr>
      </w:pPr>
    </w:p>
    <w:p w14:paraId="117719BA" w14:textId="77777777" w:rsidR="00346836" w:rsidRDefault="00346836" w:rsidP="004540A7">
      <w:pPr>
        <w:spacing w:after="0"/>
        <w:rPr>
          <w:rFonts w:cs="Arial"/>
        </w:rPr>
      </w:pPr>
    </w:p>
    <w:p w14:paraId="17ECDA9D" w14:textId="77777777" w:rsidR="00346836" w:rsidRDefault="00346836" w:rsidP="004540A7">
      <w:pPr>
        <w:spacing w:after="0"/>
        <w:rPr>
          <w:rFonts w:cs="Arial"/>
        </w:rPr>
      </w:pPr>
    </w:p>
    <w:p w14:paraId="0F408D78" w14:textId="77777777" w:rsidR="00346836" w:rsidRDefault="00346836" w:rsidP="004540A7">
      <w:pPr>
        <w:spacing w:after="0"/>
        <w:rPr>
          <w:rFonts w:cs="Arial"/>
        </w:rPr>
      </w:pPr>
    </w:p>
    <w:p w14:paraId="6C1062E8" w14:textId="77777777" w:rsidR="00346836" w:rsidRDefault="00346836" w:rsidP="004540A7">
      <w:pPr>
        <w:spacing w:after="0"/>
        <w:rPr>
          <w:rFonts w:cs="Arial"/>
        </w:rPr>
      </w:pPr>
    </w:p>
    <w:p w14:paraId="325CA18E" w14:textId="77777777" w:rsidR="00346836" w:rsidRDefault="00346836" w:rsidP="004540A7">
      <w:pPr>
        <w:spacing w:after="0"/>
        <w:rPr>
          <w:rFonts w:cs="Arial"/>
        </w:rPr>
      </w:pPr>
    </w:p>
    <w:p w14:paraId="734834CE" w14:textId="77777777" w:rsidR="00346836" w:rsidRDefault="00346836" w:rsidP="004540A7">
      <w:pPr>
        <w:spacing w:after="0"/>
        <w:rPr>
          <w:rFonts w:cs="Arial"/>
        </w:rPr>
      </w:pPr>
    </w:p>
    <w:p w14:paraId="6B17EBDA" w14:textId="77777777" w:rsidR="00346836" w:rsidRDefault="00346836" w:rsidP="004540A7">
      <w:pPr>
        <w:spacing w:after="0"/>
        <w:rPr>
          <w:rFonts w:cs="Arial"/>
        </w:rPr>
      </w:pPr>
    </w:p>
    <w:p w14:paraId="4C6CC67F" w14:textId="77777777" w:rsidR="00346836" w:rsidRDefault="00346836" w:rsidP="004540A7">
      <w:pPr>
        <w:spacing w:after="0"/>
        <w:rPr>
          <w:rFonts w:cs="Arial"/>
        </w:rPr>
      </w:pPr>
    </w:p>
    <w:p w14:paraId="666E69D1" w14:textId="77777777" w:rsidR="00346836" w:rsidRDefault="00346836" w:rsidP="004540A7">
      <w:pPr>
        <w:spacing w:after="0"/>
        <w:rPr>
          <w:rFonts w:cs="Arial"/>
        </w:rPr>
      </w:pPr>
    </w:p>
    <w:p w14:paraId="37B64165" w14:textId="77777777" w:rsidR="00346836" w:rsidRDefault="00346836" w:rsidP="004540A7">
      <w:pPr>
        <w:spacing w:after="0"/>
        <w:rPr>
          <w:rFonts w:cs="Arial"/>
        </w:rPr>
      </w:pPr>
    </w:p>
    <w:p w14:paraId="76F2ECDB" w14:textId="77777777" w:rsidR="00346836" w:rsidRDefault="00346836" w:rsidP="004540A7">
      <w:pPr>
        <w:spacing w:after="0"/>
        <w:rPr>
          <w:rFonts w:cs="Arial"/>
        </w:rPr>
      </w:pPr>
    </w:p>
    <w:p w14:paraId="5752DC34" w14:textId="77777777" w:rsidR="00346836" w:rsidRDefault="00346836" w:rsidP="004540A7">
      <w:pPr>
        <w:spacing w:after="0"/>
        <w:rPr>
          <w:rFonts w:cs="Arial"/>
        </w:rPr>
      </w:pPr>
    </w:p>
    <w:p w14:paraId="7CC47855" w14:textId="37F89AAE" w:rsidR="004540A7" w:rsidRPr="002D1C7E" w:rsidRDefault="004540A7" w:rsidP="004540A7">
      <w:pPr>
        <w:spacing w:after="0"/>
        <w:rPr>
          <w:rFonts w:cs="Arial"/>
        </w:rPr>
      </w:pPr>
      <w:r w:rsidRPr="002D1C7E">
        <w:rPr>
          <w:rFonts w:cs="Arial"/>
        </w:rPr>
        <w:lastRenderedPageBreak/>
        <w:t>Below is a graph showing the number of complaints received by site for the past three years</w:t>
      </w:r>
      <w:r w:rsidR="00CD7523">
        <w:rPr>
          <w:rFonts w:cs="Arial"/>
        </w:rPr>
        <w:t>:</w:t>
      </w:r>
    </w:p>
    <w:p w14:paraId="18493CF5" w14:textId="5A198ADD" w:rsidR="004540A7" w:rsidRPr="002D1C7E" w:rsidRDefault="004540A7" w:rsidP="004540A7">
      <w:pPr>
        <w:spacing w:after="0"/>
        <w:rPr>
          <w:rFonts w:cs="Arial"/>
        </w:rPr>
      </w:pPr>
    </w:p>
    <w:p w14:paraId="0C82EC68" w14:textId="77777777" w:rsidR="00CD7523" w:rsidRDefault="00CD7523" w:rsidP="004540A7">
      <w:pPr>
        <w:spacing w:after="0"/>
        <w:rPr>
          <w:rFonts w:cs="Arial"/>
        </w:rPr>
      </w:pPr>
      <w:r>
        <w:rPr>
          <w:noProof/>
          <w:lang w:eastAsia="en-GB"/>
        </w:rPr>
        <w:drawing>
          <wp:inline distT="0" distB="0" distL="0" distR="0" wp14:anchorId="7AFF9990" wp14:editId="05D3C423">
            <wp:extent cx="5600700" cy="3362325"/>
            <wp:effectExtent l="0" t="0" r="0" b="952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BC18AE4" w14:textId="77777777" w:rsidR="00CD7523" w:rsidRDefault="00CD7523" w:rsidP="004540A7">
      <w:pPr>
        <w:spacing w:after="0"/>
        <w:rPr>
          <w:rFonts w:cs="Arial"/>
        </w:rPr>
      </w:pPr>
    </w:p>
    <w:p w14:paraId="4CB44205" w14:textId="79375B96" w:rsidR="004540A7" w:rsidRPr="002D1C7E" w:rsidRDefault="004540A7" w:rsidP="004540A7">
      <w:pPr>
        <w:spacing w:after="0"/>
        <w:rPr>
          <w:rFonts w:cs="Arial"/>
        </w:rPr>
      </w:pPr>
      <w:r w:rsidRPr="002D1C7E">
        <w:rPr>
          <w:rFonts w:cs="Arial"/>
        </w:rPr>
        <w:t>Please see breakdown of complaints received by specialty and site during the year:</w:t>
      </w:r>
    </w:p>
    <w:p w14:paraId="3A558A71" w14:textId="77777777" w:rsidR="004540A7" w:rsidRPr="002D1C7E" w:rsidRDefault="004540A7" w:rsidP="004540A7">
      <w:pPr>
        <w:pStyle w:val="NoSpacing"/>
        <w:rPr>
          <w:rFonts w:ascii="Arial" w:hAnsi="Arial" w:cs="Arial"/>
        </w:rPr>
      </w:pPr>
    </w:p>
    <w:p w14:paraId="7EACD59B" w14:textId="77777777" w:rsidR="004540A7" w:rsidRPr="002D1C7E" w:rsidRDefault="004540A7" w:rsidP="004540A7">
      <w:pPr>
        <w:pStyle w:val="NoSpacing"/>
        <w:rPr>
          <w:rFonts w:ascii="Arial" w:hAnsi="Arial" w:cs="Arial"/>
          <w:i/>
          <w:sz w:val="20"/>
        </w:rPr>
      </w:pPr>
      <w:r w:rsidRPr="002D1C7E">
        <w:rPr>
          <w:rFonts w:ascii="Arial" w:hAnsi="Arial" w:cs="Arial"/>
          <w:noProof/>
          <w:lang w:eastAsia="en-GB"/>
        </w:rPr>
        <w:drawing>
          <wp:inline distT="0" distB="0" distL="0" distR="0" wp14:anchorId="57055038" wp14:editId="01E367BD">
            <wp:extent cx="6562725" cy="306705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2D1C7E">
        <w:rPr>
          <w:rFonts w:ascii="Arial" w:hAnsi="Arial" w:cs="Arial"/>
          <w:i/>
          <w:sz w:val="20"/>
        </w:rPr>
        <w:t xml:space="preserve">Formal complaints received by site and top 10 specialties </w:t>
      </w:r>
    </w:p>
    <w:p w14:paraId="478BA33A" w14:textId="77777777" w:rsidR="004540A7" w:rsidRPr="002D1C7E" w:rsidRDefault="004540A7" w:rsidP="004540A7">
      <w:pPr>
        <w:pStyle w:val="NoSpacing"/>
        <w:rPr>
          <w:rFonts w:ascii="Arial" w:hAnsi="Arial" w:cs="Arial"/>
          <w:i/>
          <w:sz w:val="20"/>
        </w:rPr>
      </w:pPr>
    </w:p>
    <w:p w14:paraId="5301D517" w14:textId="77777777" w:rsidR="004540A7" w:rsidRPr="00C256C6" w:rsidRDefault="004540A7" w:rsidP="004540A7">
      <w:pPr>
        <w:spacing w:after="0"/>
        <w:rPr>
          <w:rFonts w:cs="Arial"/>
          <w:sz w:val="22"/>
        </w:rPr>
      </w:pPr>
      <w:r w:rsidRPr="00C256C6">
        <w:rPr>
          <w:rFonts w:cs="Arial"/>
          <w:sz w:val="22"/>
        </w:rPr>
        <w:t>Maternity/Obstetrics received the most complaints at Chelsea and Westminster Hospital, followed by the Emergency Departments on each site and also Trauma and Orthopaedics.</w:t>
      </w:r>
    </w:p>
    <w:p w14:paraId="0858B836" w14:textId="77777777" w:rsidR="004540A7" w:rsidRPr="002D1C7E" w:rsidRDefault="004540A7" w:rsidP="004540A7">
      <w:pPr>
        <w:spacing w:after="0"/>
        <w:rPr>
          <w:rFonts w:cs="Arial"/>
        </w:rPr>
      </w:pPr>
    </w:p>
    <w:p w14:paraId="4E9FB5D3" w14:textId="77777777" w:rsidR="004540A7" w:rsidRPr="002D1C7E" w:rsidRDefault="004540A7" w:rsidP="004540A7">
      <w:pPr>
        <w:spacing w:after="0"/>
        <w:rPr>
          <w:rFonts w:cs="Arial"/>
          <w:i/>
          <w:sz w:val="20"/>
        </w:rPr>
      </w:pPr>
      <w:r w:rsidRPr="002D1C7E">
        <w:rPr>
          <w:rFonts w:cs="Arial"/>
          <w:noProof/>
          <w:lang w:eastAsia="en-GB"/>
        </w:rPr>
        <w:lastRenderedPageBreak/>
        <w:drawing>
          <wp:inline distT="0" distB="0" distL="0" distR="0" wp14:anchorId="0C0F66A6" wp14:editId="45E1AF7F">
            <wp:extent cx="6619875" cy="394335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2D1C7E">
        <w:rPr>
          <w:rFonts w:cs="Arial"/>
          <w:i/>
          <w:sz w:val="20"/>
        </w:rPr>
        <w:t>Complaints received by Division and top ten subjects</w:t>
      </w:r>
    </w:p>
    <w:p w14:paraId="600F410F" w14:textId="77777777" w:rsidR="004540A7" w:rsidRPr="002D1C7E" w:rsidRDefault="004540A7" w:rsidP="004540A7">
      <w:pPr>
        <w:spacing w:after="0"/>
        <w:rPr>
          <w:rFonts w:cs="Arial"/>
          <w:i/>
          <w:sz w:val="20"/>
        </w:rPr>
      </w:pPr>
    </w:p>
    <w:p w14:paraId="443FBB62" w14:textId="77777777" w:rsidR="004540A7" w:rsidRPr="00C256C6" w:rsidRDefault="004540A7" w:rsidP="004540A7">
      <w:pPr>
        <w:spacing w:after="0"/>
        <w:rPr>
          <w:rFonts w:cs="Arial"/>
          <w:sz w:val="22"/>
        </w:rPr>
      </w:pPr>
      <w:r w:rsidRPr="00C256C6">
        <w:rPr>
          <w:rFonts w:cs="Arial"/>
          <w:sz w:val="22"/>
        </w:rPr>
        <w:t>Communication and Patient Care are again top themes of complaints received across all Divisions as demonstrated in the charts above and below.</w:t>
      </w:r>
    </w:p>
    <w:p w14:paraId="5C047DC2" w14:textId="77777777" w:rsidR="004540A7" w:rsidRPr="002D1C7E" w:rsidRDefault="004540A7" w:rsidP="004540A7">
      <w:pPr>
        <w:spacing w:after="0"/>
        <w:rPr>
          <w:rFonts w:cs="Arial"/>
        </w:rPr>
      </w:pPr>
    </w:p>
    <w:p w14:paraId="33596F8B" w14:textId="77777777" w:rsidR="004540A7" w:rsidRPr="002D1C7E" w:rsidRDefault="004540A7" w:rsidP="004540A7">
      <w:pPr>
        <w:spacing w:after="0"/>
        <w:jc w:val="both"/>
        <w:rPr>
          <w:rFonts w:cs="Arial"/>
        </w:rPr>
      </w:pPr>
    </w:p>
    <w:p w14:paraId="0918E8D6" w14:textId="77777777" w:rsidR="004540A7" w:rsidRPr="002D1C7E" w:rsidRDefault="004540A7" w:rsidP="004540A7">
      <w:pPr>
        <w:spacing w:after="0"/>
        <w:rPr>
          <w:rFonts w:cs="Arial"/>
          <w:sz w:val="20"/>
        </w:rPr>
      </w:pPr>
      <w:r w:rsidRPr="002D1C7E">
        <w:rPr>
          <w:rFonts w:cs="Arial"/>
          <w:noProof/>
          <w:lang w:eastAsia="en-GB"/>
        </w:rPr>
        <w:drawing>
          <wp:inline distT="0" distB="0" distL="0" distR="0" wp14:anchorId="7E1666A7" wp14:editId="3C6D092F">
            <wp:extent cx="6734175" cy="376237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BA91C35" w14:textId="77777777" w:rsidR="004540A7" w:rsidRPr="002D1C7E" w:rsidRDefault="004540A7" w:rsidP="004540A7">
      <w:pPr>
        <w:spacing w:after="0"/>
        <w:rPr>
          <w:rFonts w:cs="Arial"/>
          <w:i/>
          <w:sz w:val="20"/>
        </w:rPr>
      </w:pPr>
      <w:r w:rsidRPr="002D1C7E">
        <w:rPr>
          <w:rFonts w:cs="Arial"/>
          <w:i/>
          <w:sz w:val="20"/>
        </w:rPr>
        <w:t>Complaints received by Division and top ten sub-subjects</w:t>
      </w:r>
    </w:p>
    <w:p w14:paraId="41ABD527" w14:textId="5CE8F527" w:rsidR="004540A7" w:rsidRDefault="004540A7" w:rsidP="004540A7">
      <w:pPr>
        <w:spacing w:after="0"/>
        <w:rPr>
          <w:rFonts w:cs="Arial"/>
          <w:sz w:val="20"/>
        </w:rPr>
      </w:pPr>
    </w:p>
    <w:p w14:paraId="7011B0AE" w14:textId="014F9CFC" w:rsidR="00C256C6" w:rsidRDefault="00C256C6" w:rsidP="004540A7">
      <w:pPr>
        <w:spacing w:after="0"/>
        <w:rPr>
          <w:rFonts w:cs="Arial"/>
          <w:sz w:val="20"/>
        </w:rPr>
      </w:pPr>
      <w:r>
        <w:rPr>
          <w:rFonts w:cs="Arial"/>
          <w:sz w:val="20"/>
        </w:rPr>
        <w:lastRenderedPageBreak/>
        <w:t xml:space="preserve">Below is a chart showing complaints received by theme during the past three years: </w:t>
      </w:r>
    </w:p>
    <w:p w14:paraId="66460F51" w14:textId="77777777" w:rsidR="00C256C6" w:rsidRPr="002D1C7E" w:rsidRDefault="00C256C6" w:rsidP="004540A7">
      <w:pPr>
        <w:spacing w:after="0"/>
        <w:rPr>
          <w:rFonts w:cs="Arial"/>
          <w:sz w:val="20"/>
        </w:rPr>
      </w:pPr>
    </w:p>
    <w:tbl>
      <w:tblPr>
        <w:tblStyle w:val="TableGrid"/>
        <w:tblW w:w="8270" w:type="dxa"/>
        <w:tblLook w:val="04A0" w:firstRow="1" w:lastRow="0" w:firstColumn="1" w:lastColumn="0" w:noHBand="0" w:noVBand="1"/>
      </w:tblPr>
      <w:tblGrid>
        <w:gridCol w:w="3236"/>
        <w:gridCol w:w="1674"/>
        <w:gridCol w:w="1680"/>
        <w:gridCol w:w="1680"/>
      </w:tblGrid>
      <w:tr w:rsidR="004540A7" w:rsidRPr="002D1C7E" w14:paraId="5F8EDC35" w14:textId="77777777" w:rsidTr="00064BC1">
        <w:tc>
          <w:tcPr>
            <w:tcW w:w="3236" w:type="dxa"/>
          </w:tcPr>
          <w:p w14:paraId="781CFFF9" w14:textId="77777777" w:rsidR="004540A7" w:rsidRPr="002D1C7E" w:rsidRDefault="004540A7" w:rsidP="00064BC1">
            <w:pPr>
              <w:pStyle w:val="ListParagraph"/>
              <w:ind w:left="0"/>
              <w:jc w:val="both"/>
              <w:rPr>
                <w:rFonts w:cs="Arial"/>
                <w:b/>
                <w:noProof/>
                <w:sz w:val="20"/>
                <w:lang w:eastAsia="en-GB"/>
              </w:rPr>
            </w:pPr>
            <w:r w:rsidRPr="002D1C7E">
              <w:rPr>
                <w:rFonts w:cs="Arial"/>
                <w:b/>
                <w:noProof/>
                <w:sz w:val="20"/>
                <w:lang w:eastAsia="en-GB"/>
              </w:rPr>
              <w:t>Complaint theme</w:t>
            </w:r>
          </w:p>
        </w:tc>
        <w:tc>
          <w:tcPr>
            <w:tcW w:w="1674" w:type="dxa"/>
          </w:tcPr>
          <w:p w14:paraId="0B94E640" w14:textId="77777777" w:rsidR="004540A7" w:rsidRPr="002D1C7E" w:rsidRDefault="004540A7" w:rsidP="00064BC1">
            <w:pPr>
              <w:pStyle w:val="ListParagraph"/>
              <w:ind w:left="0"/>
              <w:jc w:val="both"/>
              <w:rPr>
                <w:rFonts w:cs="Arial"/>
                <w:b/>
                <w:noProof/>
                <w:sz w:val="20"/>
                <w:lang w:eastAsia="en-GB"/>
              </w:rPr>
            </w:pPr>
            <w:r w:rsidRPr="002D1C7E">
              <w:rPr>
                <w:rFonts w:cs="Arial"/>
                <w:b/>
                <w:noProof/>
                <w:sz w:val="20"/>
                <w:lang w:eastAsia="en-GB"/>
              </w:rPr>
              <w:t>Number received</w:t>
            </w:r>
          </w:p>
          <w:p w14:paraId="6A51E337" w14:textId="77777777" w:rsidR="004540A7" w:rsidRPr="002D1C7E" w:rsidRDefault="004540A7" w:rsidP="00064BC1">
            <w:pPr>
              <w:pStyle w:val="ListParagraph"/>
              <w:ind w:left="0"/>
              <w:jc w:val="both"/>
              <w:rPr>
                <w:rFonts w:cs="Arial"/>
                <w:b/>
                <w:noProof/>
                <w:sz w:val="20"/>
                <w:lang w:eastAsia="en-GB"/>
              </w:rPr>
            </w:pPr>
            <w:r w:rsidRPr="002D1C7E">
              <w:rPr>
                <w:rFonts w:cs="Arial"/>
                <w:b/>
                <w:noProof/>
                <w:sz w:val="20"/>
                <w:lang w:eastAsia="en-GB"/>
              </w:rPr>
              <w:t>2021/22</w:t>
            </w:r>
          </w:p>
        </w:tc>
        <w:tc>
          <w:tcPr>
            <w:tcW w:w="1680" w:type="dxa"/>
          </w:tcPr>
          <w:p w14:paraId="62869722" w14:textId="77777777" w:rsidR="004540A7" w:rsidRPr="002D1C7E" w:rsidRDefault="004540A7" w:rsidP="00064BC1">
            <w:pPr>
              <w:pStyle w:val="ListParagraph"/>
              <w:ind w:left="0"/>
              <w:jc w:val="both"/>
              <w:rPr>
                <w:rFonts w:cs="Arial"/>
                <w:b/>
                <w:noProof/>
                <w:sz w:val="20"/>
                <w:lang w:eastAsia="en-GB"/>
              </w:rPr>
            </w:pPr>
            <w:r w:rsidRPr="002D1C7E">
              <w:rPr>
                <w:rFonts w:cs="Arial"/>
                <w:b/>
                <w:noProof/>
                <w:sz w:val="20"/>
                <w:lang w:eastAsia="en-GB"/>
              </w:rPr>
              <w:t>Number received</w:t>
            </w:r>
          </w:p>
          <w:p w14:paraId="6060F19B" w14:textId="77777777" w:rsidR="004540A7" w:rsidRPr="002D1C7E" w:rsidRDefault="004540A7" w:rsidP="00064BC1">
            <w:pPr>
              <w:pStyle w:val="ListParagraph"/>
              <w:ind w:left="0"/>
              <w:jc w:val="both"/>
              <w:rPr>
                <w:rFonts w:cs="Arial"/>
                <w:b/>
                <w:noProof/>
                <w:sz w:val="20"/>
                <w:lang w:eastAsia="en-GB"/>
              </w:rPr>
            </w:pPr>
            <w:r w:rsidRPr="002D1C7E">
              <w:rPr>
                <w:rFonts w:cs="Arial"/>
                <w:b/>
                <w:noProof/>
                <w:sz w:val="20"/>
                <w:lang w:eastAsia="en-GB"/>
              </w:rPr>
              <w:t>2022/23</w:t>
            </w:r>
          </w:p>
        </w:tc>
        <w:tc>
          <w:tcPr>
            <w:tcW w:w="1680" w:type="dxa"/>
          </w:tcPr>
          <w:p w14:paraId="0221A3A0" w14:textId="77777777" w:rsidR="004540A7" w:rsidRPr="002D1C7E" w:rsidRDefault="004540A7" w:rsidP="00064BC1">
            <w:pPr>
              <w:pStyle w:val="ListParagraph"/>
              <w:ind w:left="0"/>
              <w:jc w:val="both"/>
              <w:rPr>
                <w:rFonts w:cs="Arial"/>
                <w:b/>
                <w:noProof/>
                <w:sz w:val="20"/>
                <w:lang w:eastAsia="en-GB"/>
              </w:rPr>
            </w:pPr>
            <w:r w:rsidRPr="002D1C7E">
              <w:rPr>
                <w:rFonts w:cs="Arial"/>
                <w:b/>
                <w:noProof/>
                <w:sz w:val="20"/>
                <w:lang w:eastAsia="en-GB"/>
              </w:rPr>
              <w:t>Number received 2023/24</w:t>
            </w:r>
          </w:p>
        </w:tc>
      </w:tr>
      <w:tr w:rsidR="004540A7" w:rsidRPr="002D1C7E" w14:paraId="06F9984F" w14:textId="77777777" w:rsidTr="00064BC1">
        <w:tc>
          <w:tcPr>
            <w:tcW w:w="3236" w:type="dxa"/>
          </w:tcPr>
          <w:p w14:paraId="06A2C81C"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Access to treatment or drugs</w:t>
            </w:r>
          </w:p>
        </w:tc>
        <w:tc>
          <w:tcPr>
            <w:tcW w:w="1674" w:type="dxa"/>
          </w:tcPr>
          <w:p w14:paraId="2DE37F0A"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15</w:t>
            </w:r>
          </w:p>
        </w:tc>
        <w:tc>
          <w:tcPr>
            <w:tcW w:w="1680" w:type="dxa"/>
          </w:tcPr>
          <w:p w14:paraId="0B8D6433"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12</w:t>
            </w:r>
          </w:p>
        </w:tc>
        <w:tc>
          <w:tcPr>
            <w:tcW w:w="1680" w:type="dxa"/>
          </w:tcPr>
          <w:p w14:paraId="4A49A988"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9</w:t>
            </w:r>
          </w:p>
        </w:tc>
      </w:tr>
      <w:tr w:rsidR="004540A7" w:rsidRPr="002D1C7E" w14:paraId="139DDF40" w14:textId="77777777" w:rsidTr="00064BC1">
        <w:tc>
          <w:tcPr>
            <w:tcW w:w="3236" w:type="dxa"/>
          </w:tcPr>
          <w:p w14:paraId="3054B045"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Admissions, discharges and transfers</w:t>
            </w:r>
          </w:p>
        </w:tc>
        <w:tc>
          <w:tcPr>
            <w:tcW w:w="1674" w:type="dxa"/>
          </w:tcPr>
          <w:p w14:paraId="3BFB08EE"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18</w:t>
            </w:r>
          </w:p>
        </w:tc>
        <w:tc>
          <w:tcPr>
            <w:tcW w:w="1680" w:type="dxa"/>
          </w:tcPr>
          <w:p w14:paraId="28925F57"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20</w:t>
            </w:r>
          </w:p>
        </w:tc>
        <w:tc>
          <w:tcPr>
            <w:tcW w:w="1680" w:type="dxa"/>
          </w:tcPr>
          <w:p w14:paraId="12604E05"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25</w:t>
            </w:r>
          </w:p>
        </w:tc>
      </w:tr>
      <w:tr w:rsidR="004540A7" w:rsidRPr="002D1C7E" w14:paraId="1F46F707" w14:textId="77777777" w:rsidTr="00064BC1">
        <w:tc>
          <w:tcPr>
            <w:tcW w:w="3236" w:type="dxa"/>
          </w:tcPr>
          <w:p w14:paraId="2A8A4E07"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Appointments</w:t>
            </w:r>
          </w:p>
        </w:tc>
        <w:tc>
          <w:tcPr>
            <w:tcW w:w="1674" w:type="dxa"/>
          </w:tcPr>
          <w:p w14:paraId="16E029BA"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10</w:t>
            </w:r>
          </w:p>
        </w:tc>
        <w:tc>
          <w:tcPr>
            <w:tcW w:w="1680" w:type="dxa"/>
          </w:tcPr>
          <w:p w14:paraId="30AD8D7A"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25</w:t>
            </w:r>
          </w:p>
        </w:tc>
        <w:tc>
          <w:tcPr>
            <w:tcW w:w="1680" w:type="dxa"/>
          </w:tcPr>
          <w:p w14:paraId="0D19510C"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18</w:t>
            </w:r>
          </w:p>
        </w:tc>
      </w:tr>
      <w:tr w:rsidR="004540A7" w:rsidRPr="002D1C7E" w14:paraId="2F71B69D" w14:textId="77777777" w:rsidTr="00064BC1">
        <w:tc>
          <w:tcPr>
            <w:tcW w:w="3236" w:type="dxa"/>
            <w:shd w:val="clear" w:color="auto" w:fill="FDE9D9" w:themeFill="accent6" w:themeFillTint="33"/>
          </w:tcPr>
          <w:p w14:paraId="007F8DD4" w14:textId="77777777" w:rsidR="004540A7" w:rsidRPr="002D1C7E" w:rsidRDefault="004540A7" w:rsidP="00064BC1">
            <w:pPr>
              <w:pStyle w:val="ListParagraph"/>
              <w:ind w:left="0"/>
              <w:rPr>
                <w:rFonts w:cs="Arial"/>
                <w:noProof/>
                <w:sz w:val="20"/>
                <w:lang w:eastAsia="en-GB"/>
              </w:rPr>
            </w:pPr>
            <w:r w:rsidRPr="002D1C7E">
              <w:rPr>
                <w:rFonts w:cs="Arial"/>
                <w:noProof/>
                <w:sz w:val="20"/>
                <w:lang w:eastAsia="en-GB"/>
              </w:rPr>
              <w:t>Clinical treatment (across all specialties)</w:t>
            </w:r>
          </w:p>
        </w:tc>
        <w:tc>
          <w:tcPr>
            <w:tcW w:w="1674" w:type="dxa"/>
            <w:shd w:val="clear" w:color="auto" w:fill="FDE9D9" w:themeFill="accent6" w:themeFillTint="33"/>
          </w:tcPr>
          <w:p w14:paraId="3870C007"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137</w:t>
            </w:r>
          </w:p>
        </w:tc>
        <w:tc>
          <w:tcPr>
            <w:tcW w:w="1680" w:type="dxa"/>
            <w:shd w:val="clear" w:color="auto" w:fill="FDE9D9" w:themeFill="accent6" w:themeFillTint="33"/>
          </w:tcPr>
          <w:p w14:paraId="5883A75B"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156</w:t>
            </w:r>
          </w:p>
        </w:tc>
        <w:tc>
          <w:tcPr>
            <w:tcW w:w="1680" w:type="dxa"/>
            <w:shd w:val="clear" w:color="auto" w:fill="FDE9D9" w:themeFill="accent6" w:themeFillTint="33"/>
          </w:tcPr>
          <w:p w14:paraId="4DB8390E"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135</w:t>
            </w:r>
          </w:p>
        </w:tc>
      </w:tr>
      <w:tr w:rsidR="004540A7" w:rsidRPr="002D1C7E" w14:paraId="7F47B113" w14:textId="77777777" w:rsidTr="00064BC1">
        <w:tc>
          <w:tcPr>
            <w:tcW w:w="3236" w:type="dxa"/>
            <w:shd w:val="clear" w:color="auto" w:fill="FDE9D9" w:themeFill="accent6" w:themeFillTint="33"/>
          </w:tcPr>
          <w:p w14:paraId="3877676C"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Communication</w:t>
            </w:r>
          </w:p>
        </w:tc>
        <w:tc>
          <w:tcPr>
            <w:tcW w:w="1674" w:type="dxa"/>
            <w:shd w:val="clear" w:color="auto" w:fill="FDE9D9" w:themeFill="accent6" w:themeFillTint="33"/>
          </w:tcPr>
          <w:p w14:paraId="57C77186"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132</w:t>
            </w:r>
          </w:p>
        </w:tc>
        <w:tc>
          <w:tcPr>
            <w:tcW w:w="1680" w:type="dxa"/>
            <w:shd w:val="clear" w:color="auto" w:fill="FDE9D9" w:themeFill="accent6" w:themeFillTint="33"/>
          </w:tcPr>
          <w:p w14:paraId="195B12F9"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128</w:t>
            </w:r>
          </w:p>
        </w:tc>
        <w:tc>
          <w:tcPr>
            <w:tcW w:w="1680" w:type="dxa"/>
            <w:shd w:val="clear" w:color="auto" w:fill="FDE9D9" w:themeFill="accent6" w:themeFillTint="33"/>
          </w:tcPr>
          <w:p w14:paraId="55F3A682"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106</w:t>
            </w:r>
          </w:p>
        </w:tc>
      </w:tr>
      <w:tr w:rsidR="004540A7" w:rsidRPr="002D1C7E" w14:paraId="49420157" w14:textId="77777777" w:rsidTr="00064BC1">
        <w:tc>
          <w:tcPr>
            <w:tcW w:w="3236" w:type="dxa"/>
          </w:tcPr>
          <w:p w14:paraId="7C611CA9"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Consent to treatment</w:t>
            </w:r>
          </w:p>
        </w:tc>
        <w:tc>
          <w:tcPr>
            <w:tcW w:w="1674" w:type="dxa"/>
          </w:tcPr>
          <w:p w14:paraId="34957BDA" w14:textId="77777777" w:rsidR="004540A7" w:rsidRPr="002D1C7E" w:rsidRDefault="004540A7" w:rsidP="00064BC1">
            <w:pPr>
              <w:jc w:val="both"/>
              <w:rPr>
                <w:rFonts w:cs="Arial"/>
                <w:noProof/>
                <w:sz w:val="20"/>
                <w:lang w:eastAsia="en-GB"/>
              </w:rPr>
            </w:pPr>
            <w:r w:rsidRPr="002D1C7E">
              <w:rPr>
                <w:rFonts w:cs="Arial"/>
                <w:noProof/>
                <w:sz w:val="20"/>
                <w:lang w:eastAsia="en-GB"/>
              </w:rPr>
              <w:t>0</w:t>
            </w:r>
          </w:p>
        </w:tc>
        <w:tc>
          <w:tcPr>
            <w:tcW w:w="1680" w:type="dxa"/>
          </w:tcPr>
          <w:p w14:paraId="65BD28CB" w14:textId="77777777" w:rsidR="004540A7" w:rsidRPr="002D1C7E" w:rsidRDefault="004540A7" w:rsidP="00064BC1">
            <w:pPr>
              <w:jc w:val="both"/>
              <w:rPr>
                <w:rFonts w:cs="Arial"/>
                <w:noProof/>
                <w:sz w:val="20"/>
                <w:lang w:eastAsia="en-GB"/>
              </w:rPr>
            </w:pPr>
            <w:r w:rsidRPr="002D1C7E">
              <w:rPr>
                <w:rFonts w:cs="Arial"/>
                <w:noProof/>
                <w:sz w:val="20"/>
                <w:lang w:eastAsia="en-GB"/>
              </w:rPr>
              <w:t>3</w:t>
            </w:r>
          </w:p>
        </w:tc>
        <w:tc>
          <w:tcPr>
            <w:tcW w:w="1680" w:type="dxa"/>
          </w:tcPr>
          <w:p w14:paraId="24D2E258" w14:textId="77777777" w:rsidR="004540A7" w:rsidRPr="002D1C7E" w:rsidRDefault="004540A7" w:rsidP="00064BC1">
            <w:pPr>
              <w:jc w:val="both"/>
              <w:rPr>
                <w:rFonts w:cs="Arial"/>
                <w:noProof/>
                <w:sz w:val="20"/>
                <w:lang w:eastAsia="en-GB"/>
              </w:rPr>
            </w:pPr>
            <w:r w:rsidRPr="002D1C7E">
              <w:rPr>
                <w:rFonts w:cs="Arial"/>
                <w:noProof/>
                <w:sz w:val="20"/>
                <w:lang w:eastAsia="en-GB"/>
              </w:rPr>
              <w:t>1</w:t>
            </w:r>
          </w:p>
        </w:tc>
      </w:tr>
      <w:tr w:rsidR="004540A7" w:rsidRPr="002D1C7E" w14:paraId="0FD4E6AF" w14:textId="77777777" w:rsidTr="00064BC1">
        <w:tc>
          <w:tcPr>
            <w:tcW w:w="3236" w:type="dxa"/>
          </w:tcPr>
          <w:p w14:paraId="043A495D"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End of life care</w:t>
            </w:r>
          </w:p>
        </w:tc>
        <w:tc>
          <w:tcPr>
            <w:tcW w:w="1674" w:type="dxa"/>
          </w:tcPr>
          <w:p w14:paraId="4B1D37B2"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1</w:t>
            </w:r>
          </w:p>
        </w:tc>
        <w:tc>
          <w:tcPr>
            <w:tcW w:w="1680" w:type="dxa"/>
          </w:tcPr>
          <w:p w14:paraId="3AEE895F"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4</w:t>
            </w:r>
          </w:p>
        </w:tc>
        <w:tc>
          <w:tcPr>
            <w:tcW w:w="1680" w:type="dxa"/>
          </w:tcPr>
          <w:p w14:paraId="6C18D5F4"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3</w:t>
            </w:r>
          </w:p>
        </w:tc>
      </w:tr>
      <w:tr w:rsidR="004540A7" w:rsidRPr="002D1C7E" w14:paraId="6636EB4D" w14:textId="77777777" w:rsidTr="00064BC1">
        <w:tc>
          <w:tcPr>
            <w:tcW w:w="3236" w:type="dxa"/>
            <w:shd w:val="clear" w:color="auto" w:fill="FDE9D9" w:themeFill="accent6" w:themeFillTint="33"/>
          </w:tcPr>
          <w:p w14:paraId="75A2708F"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 xml:space="preserve">Patient care </w:t>
            </w:r>
          </w:p>
        </w:tc>
        <w:tc>
          <w:tcPr>
            <w:tcW w:w="1674" w:type="dxa"/>
            <w:shd w:val="clear" w:color="auto" w:fill="FDE9D9" w:themeFill="accent6" w:themeFillTint="33"/>
          </w:tcPr>
          <w:p w14:paraId="73C5057F"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79</w:t>
            </w:r>
          </w:p>
        </w:tc>
        <w:tc>
          <w:tcPr>
            <w:tcW w:w="1680" w:type="dxa"/>
            <w:shd w:val="clear" w:color="auto" w:fill="FDE9D9" w:themeFill="accent6" w:themeFillTint="33"/>
          </w:tcPr>
          <w:p w14:paraId="6870DA89"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78</w:t>
            </w:r>
          </w:p>
        </w:tc>
        <w:tc>
          <w:tcPr>
            <w:tcW w:w="1680" w:type="dxa"/>
            <w:shd w:val="clear" w:color="auto" w:fill="FDE9D9" w:themeFill="accent6" w:themeFillTint="33"/>
          </w:tcPr>
          <w:p w14:paraId="4C7CAE48"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81</w:t>
            </w:r>
          </w:p>
        </w:tc>
      </w:tr>
      <w:tr w:rsidR="004540A7" w:rsidRPr="002D1C7E" w14:paraId="04D36978" w14:textId="77777777" w:rsidTr="00064BC1">
        <w:tc>
          <w:tcPr>
            <w:tcW w:w="3236" w:type="dxa"/>
          </w:tcPr>
          <w:p w14:paraId="63EDDF6F"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Prescribing errors</w:t>
            </w:r>
          </w:p>
        </w:tc>
        <w:tc>
          <w:tcPr>
            <w:tcW w:w="1674" w:type="dxa"/>
          </w:tcPr>
          <w:p w14:paraId="37A185D5"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2</w:t>
            </w:r>
          </w:p>
        </w:tc>
        <w:tc>
          <w:tcPr>
            <w:tcW w:w="1680" w:type="dxa"/>
          </w:tcPr>
          <w:p w14:paraId="4A98146B"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0</w:t>
            </w:r>
          </w:p>
        </w:tc>
        <w:tc>
          <w:tcPr>
            <w:tcW w:w="1680" w:type="dxa"/>
          </w:tcPr>
          <w:p w14:paraId="4754371F"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4</w:t>
            </w:r>
          </w:p>
        </w:tc>
      </w:tr>
      <w:tr w:rsidR="004540A7" w:rsidRPr="002D1C7E" w14:paraId="71CD11D8" w14:textId="77777777" w:rsidTr="00064BC1">
        <w:tc>
          <w:tcPr>
            <w:tcW w:w="3236" w:type="dxa"/>
          </w:tcPr>
          <w:p w14:paraId="3D81E5D4"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Privacy, dignity and wellbeing</w:t>
            </w:r>
          </w:p>
        </w:tc>
        <w:tc>
          <w:tcPr>
            <w:tcW w:w="1674" w:type="dxa"/>
          </w:tcPr>
          <w:p w14:paraId="3B5AC990"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5</w:t>
            </w:r>
          </w:p>
        </w:tc>
        <w:tc>
          <w:tcPr>
            <w:tcW w:w="1680" w:type="dxa"/>
          </w:tcPr>
          <w:p w14:paraId="24F36119"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6</w:t>
            </w:r>
          </w:p>
        </w:tc>
        <w:tc>
          <w:tcPr>
            <w:tcW w:w="1680" w:type="dxa"/>
          </w:tcPr>
          <w:p w14:paraId="27E0B002"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6</w:t>
            </w:r>
          </w:p>
        </w:tc>
      </w:tr>
      <w:tr w:rsidR="004540A7" w:rsidRPr="002D1C7E" w14:paraId="2E7C2E57" w14:textId="77777777" w:rsidTr="00064BC1">
        <w:tc>
          <w:tcPr>
            <w:tcW w:w="3236" w:type="dxa"/>
          </w:tcPr>
          <w:p w14:paraId="6332727E"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Trust administration</w:t>
            </w:r>
          </w:p>
        </w:tc>
        <w:tc>
          <w:tcPr>
            <w:tcW w:w="1674" w:type="dxa"/>
          </w:tcPr>
          <w:p w14:paraId="215F42B0"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4</w:t>
            </w:r>
          </w:p>
        </w:tc>
        <w:tc>
          <w:tcPr>
            <w:tcW w:w="1680" w:type="dxa"/>
          </w:tcPr>
          <w:p w14:paraId="5E8E1787"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2</w:t>
            </w:r>
          </w:p>
        </w:tc>
        <w:tc>
          <w:tcPr>
            <w:tcW w:w="1680" w:type="dxa"/>
          </w:tcPr>
          <w:p w14:paraId="0C297BB9"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3</w:t>
            </w:r>
          </w:p>
        </w:tc>
      </w:tr>
      <w:tr w:rsidR="004540A7" w:rsidRPr="002D1C7E" w14:paraId="128C01A8" w14:textId="77777777" w:rsidTr="00064BC1">
        <w:tc>
          <w:tcPr>
            <w:tcW w:w="3236" w:type="dxa"/>
          </w:tcPr>
          <w:p w14:paraId="6D0A9A0B"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 xml:space="preserve">Values and behaviours </w:t>
            </w:r>
          </w:p>
        </w:tc>
        <w:tc>
          <w:tcPr>
            <w:tcW w:w="1674" w:type="dxa"/>
          </w:tcPr>
          <w:p w14:paraId="4AC47B0D"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40</w:t>
            </w:r>
          </w:p>
        </w:tc>
        <w:tc>
          <w:tcPr>
            <w:tcW w:w="1680" w:type="dxa"/>
          </w:tcPr>
          <w:p w14:paraId="6EB180A7"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38</w:t>
            </w:r>
          </w:p>
        </w:tc>
        <w:tc>
          <w:tcPr>
            <w:tcW w:w="1680" w:type="dxa"/>
          </w:tcPr>
          <w:p w14:paraId="2AA18C31"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55</w:t>
            </w:r>
          </w:p>
        </w:tc>
      </w:tr>
      <w:tr w:rsidR="004540A7" w:rsidRPr="002D1C7E" w14:paraId="0C9734E1" w14:textId="77777777" w:rsidTr="00064BC1">
        <w:tc>
          <w:tcPr>
            <w:tcW w:w="3236" w:type="dxa"/>
          </w:tcPr>
          <w:p w14:paraId="202832F2"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Waiting times</w:t>
            </w:r>
          </w:p>
        </w:tc>
        <w:tc>
          <w:tcPr>
            <w:tcW w:w="1674" w:type="dxa"/>
          </w:tcPr>
          <w:p w14:paraId="41372822"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1</w:t>
            </w:r>
          </w:p>
        </w:tc>
        <w:tc>
          <w:tcPr>
            <w:tcW w:w="1680" w:type="dxa"/>
          </w:tcPr>
          <w:p w14:paraId="7C0B7F5B"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3</w:t>
            </w:r>
          </w:p>
        </w:tc>
        <w:tc>
          <w:tcPr>
            <w:tcW w:w="1680" w:type="dxa"/>
          </w:tcPr>
          <w:p w14:paraId="6021D28C"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7</w:t>
            </w:r>
          </w:p>
        </w:tc>
      </w:tr>
      <w:tr w:rsidR="004540A7" w:rsidRPr="002D1C7E" w14:paraId="06B63108" w14:textId="77777777" w:rsidTr="00064BC1">
        <w:tc>
          <w:tcPr>
            <w:tcW w:w="3236" w:type="dxa"/>
          </w:tcPr>
          <w:p w14:paraId="1FD4646C"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Other</w:t>
            </w:r>
          </w:p>
        </w:tc>
        <w:tc>
          <w:tcPr>
            <w:tcW w:w="1674" w:type="dxa"/>
          </w:tcPr>
          <w:p w14:paraId="321D3E0E"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2</w:t>
            </w:r>
          </w:p>
        </w:tc>
        <w:tc>
          <w:tcPr>
            <w:tcW w:w="1680" w:type="dxa"/>
          </w:tcPr>
          <w:p w14:paraId="26E2691E"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2</w:t>
            </w:r>
          </w:p>
        </w:tc>
        <w:tc>
          <w:tcPr>
            <w:tcW w:w="1680" w:type="dxa"/>
          </w:tcPr>
          <w:p w14:paraId="56E7690E" w14:textId="77777777" w:rsidR="004540A7" w:rsidRPr="002D1C7E" w:rsidRDefault="004540A7" w:rsidP="00064BC1">
            <w:pPr>
              <w:pStyle w:val="ListParagraph"/>
              <w:ind w:left="0"/>
              <w:jc w:val="both"/>
              <w:rPr>
                <w:rFonts w:cs="Arial"/>
                <w:noProof/>
                <w:sz w:val="20"/>
                <w:lang w:eastAsia="en-GB"/>
              </w:rPr>
            </w:pPr>
            <w:r w:rsidRPr="002D1C7E">
              <w:rPr>
                <w:rFonts w:cs="Arial"/>
                <w:noProof/>
                <w:sz w:val="20"/>
                <w:lang w:eastAsia="en-GB"/>
              </w:rPr>
              <w:t>1</w:t>
            </w:r>
          </w:p>
        </w:tc>
      </w:tr>
    </w:tbl>
    <w:p w14:paraId="1683A573" w14:textId="77777777" w:rsidR="004540A7" w:rsidRPr="002D1C7E" w:rsidRDefault="004540A7" w:rsidP="004540A7">
      <w:pPr>
        <w:spacing w:after="0"/>
        <w:rPr>
          <w:rFonts w:cs="Arial"/>
        </w:rPr>
      </w:pPr>
    </w:p>
    <w:p w14:paraId="536EE054" w14:textId="7793725D" w:rsidR="004540A7" w:rsidRDefault="001247C0" w:rsidP="004540A7">
      <w:pPr>
        <w:spacing w:after="0"/>
        <w:rPr>
          <w:rFonts w:cs="Arial"/>
          <w:sz w:val="20"/>
        </w:rPr>
      </w:pPr>
      <w:r>
        <w:rPr>
          <w:rFonts w:cs="Arial"/>
          <w:sz w:val="20"/>
        </w:rPr>
        <w:t>The</w:t>
      </w:r>
      <w:r w:rsidR="004540A7" w:rsidRPr="002D1C7E">
        <w:rPr>
          <w:rFonts w:cs="Arial"/>
          <w:sz w:val="20"/>
        </w:rPr>
        <w:t xml:space="preserve"> table above</w:t>
      </w:r>
      <w:r>
        <w:rPr>
          <w:rFonts w:cs="Arial"/>
          <w:sz w:val="20"/>
        </w:rPr>
        <w:t xml:space="preserve"> show the number </w:t>
      </w:r>
      <w:r w:rsidR="004540A7" w:rsidRPr="002D1C7E">
        <w:rPr>
          <w:rFonts w:cs="Arial"/>
          <w:sz w:val="20"/>
        </w:rPr>
        <w:t xml:space="preserve">of complaints received this year </w:t>
      </w:r>
      <w:r>
        <w:rPr>
          <w:rFonts w:cs="Arial"/>
          <w:sz w:val="20"/>
        </w:rPr>
        <w:t xml:space="preserve">by subject which </w:t>
      </w:r>
      <w:r w:rsidR="004540A7" w:rsidRPr="002D1C7E">
        <w:rPr>
          <w:rFonts w:cs="Arial"/>
          <w:sz w:val="20"/>
        </w:rPr>
        <w:t>has rema</w:t>
      </w:r>
      <w:r>
        <w:rPr>
          <w:rFonts w:cs="Arial"/>
          <w:sz w:val="20"/>
        </w:rPr>
        <w:t xml:space="preserve">ined similar to previous years.  There has been </w:t>
      </w:r>
      <w:r w:rsidR="004540A7" w:rsidRPr="002D1C7E">
        <w:rPr>
          <w:rFonts w:cs="Arial"/>
          <w:sz w:val="20"/>
        </w:rPr>
        <w:t>an increase of 45% in the numbers of complaints received about values and behaviours and an increase in complaints about waiting times.</w:t>
      </w:r>
    </w:p>
    <w:p w14:paraId="0A61A0D7" w14:textId="77777777" w:rsidR="00C256C6" w:rsidRPr="002D1C7E" w:rsidRDefault="00C256C6" w:rsidP="004540A7">
      <w:pPr>
        <w:spacing w:after="0"/>
        <w:rPr>
          <w:rFonts w:cs="Arial"/>
          <w:sz w:val="20"/>
        </w:rPr>
      </w:pPr>
    </w:p>
    <w:p w14:paraId="5FA0CF27" w14:textId="77777777" w:rsidR="004540A7" w:rsidRPr="002D1C7E" w:rsidRDefault="004540A7" w:rsidP="004540A7">
      <w:pPr>
        <w:spacing w:after="0"/>
        <w:rPr>
          <w:rFonts w:cs="Arial"/>
          <w:sz w:val="20"/>
        </w:rPr>
      </w:pPr>
      <w:r w:rsidRPr="002D1C7E">
        <w:rPr>
          <w:rFonts w:cs="Arial"/>
          <w:noProof/>
          <w:lang w:eastAsia="en-GB"/>
        </w:rPr>
        <w:drawing>
          <wp:inline distT="0" distB="0" distL="0" distR="0" wp14:anchorId="3E0614EF" wp14:editId="4291E017">
            <wp:extent cx="5734050" cy="28003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73806CD" w14:textId="77777777" w:rsidR="004540A7" w:rsidRPr="002D1C7E" w:rsidRDefault="004540A7" w:rsidP="004540A7">
      <w:pPr>
        <w:pStyle w:val="NoSpacing"/>
        <w:rPr>
          <w:rFonts w:ascii="Arial" w:hAnsi="Arial" w:cs="Arial"/>
          <w:i/>
          <w:sz w:val="20"/>
        </w:rPr>
      </w:pPr>
      <w:r w:rsidRPr="002D1C7E">
        <w:rPr>
          <w:rFonts w:ascii="Arial" w:hAnsi="Arial" w:cs="Arial"/>
          <w:sz w:val="20"/>
        </w:rPr>
        <w:t xml:space="preserve">The </w:t>
      </w:r>
      <w:r w:rsidRPr="002D1C7E">
        <w:rPr>
          <w:rFonts w:ascii="Arial" w:hAnsi="Arial" w:cs="Arial"/>
          <w:i/>
          <w:sz w:val="20"/>
        </w:rPr>
        <w:t>Top 10 locations that received a complaint – April 2023 – March 2024</w:t>
      </w:r>
    </w:p>
    <w:p w14:paraId="7B69B512" w14:textId="77777777" w:rsidR="004540A7" w:rsidRPr="002D1C7E" w:rsidRDefault="004540A7" w:rsidP="004540A7">
      <w:pPr>
        <w:spacing w:after="0"/>
        <w:rPr>
          <w:rFonts w:cs="Arial"/>
          <w:sz w:val="20"/>
        </w:rPr>
      </w:pPr>
    </w:p>
    <w:p w14:paraId="3D459016" w14:textId="33465C93" w:rsidR="004540A7" w:rsidRPr="002D1C7E" w:rsidRDefault="004540A7" w:rsidP="004540A7">
      <w:pPr>
        <w:spacing w:after="0"/>
        <w:rPr>
          <w:rFonts w:cs="Arial"/>
          <w:sz w:val="20"/>
        </w:rPr>
      </w:pPr>
      <w:r w:rsidRPr="002D1C7E">
        <w:rPr>
          <w:rFonts w:cs="Arial"/>
          <w:sz w:val="20"/>
        </w:rPr>
        <w:t>The Maternity Assessment Suite at Chelsea and Westminster Hospital received</w:t>
      </w:r>
      <w:r w:rsidR="00C256C6">
        <w:rPr>
          <w:rFonts w:cs="Arial"/>
          <w:sz w:val="20"/>
        </w:rPr>
        <w:t xml:space="preserve"> the most complaints this year:</w:t>
      </w:r>
    </w:p>
    <w:p w14:paraId="57028632" w14:textId="73C911E9" w:rsidR="009D71C2" w:rsidRDefault="009D71C2" w:rsidP="004540A7">
      <w:pPr>
        <w:spacing w:after="0"/>
        <w:rPr>
          <w:rFonts w:cs="Arial"/>
          <w:b/>
        </w:rPr>
      </w:pPr>
    </w:p>
    <w:p w14:paraId="44230741" w14:textId="77777777" w:rsidR="009D71C2" w:rsidRDefault="004540A7" w:rsidP="004540A7">
      <w:pPr>
        <w:spacing w:after="0"/>
        <w:rPr>
          <w:rFonts w:cs="Arial"/>
          <w:b/>
        </w:rPr>
      </w:pPr>
      <w:r w:rsidRPr="002D1C7E">
        <w:rPr>
          <w:rFonts w:cs="Arial"/>
          <w:noProof/>
          <w:lang w:eastAsia="en-GB"/>
        </w:rPr>
        <w:drawing>
          <wp:inline distT="0" distB="0" distL="0" distR="0" wp14:anchorId="502F6637" wp14:editId="75E21570">
            <wp:extent cx="6515100" cy="1781175"/>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3936F94" w14:textId="77777777" w:rsidR="009D71C2" w:rsidRDefault="009D71C2" w:rsidP="004540A7">
      <w:pPr>
        <w:spacing w:after="0"/>
        <w:rPr>
          <w:rFonts w:cs="Arial"/>
          <w:b/>
        </w:rPr>
      </w:pPr>
    </w:p>
    <w:p w14:paraId="0C0CCB66" w14:textId="77777777" w:rsidR="009D71C2" w:rsidRDefault="009D71C2" w:rsidP="004540A7">
      <w:pPr>
        <w:spacing w:after="0"/>
        <w:rPr>
          <w:rFonts w:cs="Arial"/>
          <w:b/>
        </w:rPr>
      </w:pPr>
      <w:r>
        <w:rPr>
          <w:noProof/>
          <w:lang w:eastAsia="en-GB"/>
        </w:rPr>
        <w:drawing>
          <wp:inline distT="0" distB="0" distL="0" distR="0" wp14:anchorId="6474EA8C" wp14:editId="30410A97">
            <wp:extent cx="6638925" cy="2543175"/>
            <wp:effectExtent l="0" t="0" r="9525"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8C1938F" w14:textId="77777777" w:rsidR="009D71C2" w:rsidRDefault="009D71C2" w:rsidP="004540A7">
      <w:pPr>
        <w:spacing w:after="0"/>
        <w:rPr>
          <w:rFonts w:cs="Arial"/>
          <w:b/>
        </w:rPr>
      </w:pPr>
    </w:p>
    <w:p w14:paraId="7E4AB838" w14:textId="77777777" w:rsidR="003C3D3E" w:rsidRDefault="009B4BA3" w:rsidP="004540A7">
      <w:pPr>
        <w:spacing w:after="0"/>
        <w:rPr>
          <w:rFonts w:cs="Arial"/>
          <w:b/>
        </w:rPr>
      </w:pPr>
      <w:r>
        <w:rPr>
          <w:noProof/>
          <w:lang w:eastAsia="en-GB"/>
        </w:rPr>
        <w:drawing>
          <wp:inline distT="0" distB="0" distL="0" distR="0" wp14:anchorId="27249C7B" wp14:editId="2928CD65">
            <wp:extent cx="6638925" cy="2886075"/>
            <wp:effectExtent l="0" t="0" r="9525" b="952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2744726" w14:textId="77777777" w:rsidR="003C3D3E" w:rsidRDefault="003C3D3E" w:rsidP="004540A7">
      <w:pPr>
        <w:spacing w:after="0"/>
        <w:rPr>
          <w:rFonts w:cs="Arial"/>
          <w:b/>
        </w:rPr>
      </w:pPr>
    </w:p>
    <w:p w14:paraId="30B57EC0" w14:textId="27113D75" w:rsidR="004540A7" w:rsidRDefault="003C3D3E" w:rsidP="004540A7">
      <w:pPr>
        <w:spacing w:after="0"/>
        <w:rPr>
          <w:rFonts w:cs="Arial"/>
          <w:b/>
        </w:rPr>
      </w:pPr>
      <w:r>
        <w:rPr>
          <w:rFonts w:cs="Arial"/>
          <w:sz w:val="20"/>
        </w:rPr>
        <w:t xml:space="preserve">The chart above provides information about sub-themes.  A recurring theme of complaints for the MAS are delays in treatment and failure to provide adequate care.  </w:t>
      </w:r>
    </w:p>
    <w:p w14:paraId="2B9B4BCB" w14:textId="77777777" w:rsidR="003C3D3E" w:rsidRPr="003C3D3E" w:rsidRDefault="003C3D3E" w:rsidP="004540A7">
      <w:pPr>
        <w:spacing w:after="0"/>
        <w:rPr>
          <w:rFonts w:cs="Arial"/>
          <w:b/>
        </w:rPr>
      </w:pPr>
    </w:p>
    <w:p w14:paraId="361EFE67" w14:textId="77777777" w:rsidR="003C3D3E" w:rsidRDefault="003C3D3E">
      <w:pPr>
        <w:spacing w:after="200" w:line="276" w:lineRule="auto"/>
        <w:rPr>
          <w:rFonts w:cs="Arial"/>
          <w:b/>
        </w:rPr>
      </w:pPr>
      <w:r>
        <w:rPr>
          <w:rFonts w:cs="Arial"/>
          <w:b/>
        </w:rPr>
        <w:br w:type="page"/>
      </w:r>
    </w:p>
    <w:p w14:paraId="3DCC4EA9" w14:textId="37A7A984" w:rsidR="004540A7" w:rsidRPr="002D1C7E" w:rsidRDefault="004540A7" w:rsidP="004540A7">
      <w:pPr>
        <w:spacing w:after="0"/>
        <w:rPr>
          <w:rFonts w:cs="Arial"/>
          <w:b/>
        </w:rPr>
      </w:pPr>
      <w:r w:rsidRPr="002D1C7E">
        <w:rPr>
          <w:rFonts w:cs="Arial"/>
          <w:b/>
        </w:rPr>
        <w:lastRenderedPageBreak/>
        <w:t>Demographic data</w:t>
      </w:r>
    </w:p>
    <w:p w14:paraId="61F28B19" w14:textId="77777777" w:rsidR="004540A7" w:rsidRPr="002D1C7E" w:rsidRDefault="004540A7" w:rsidP="004540A7">
      <w:pPr>
        <w:spacing w:after="0"/>
        <w:rPr>
          <w:rFonts w:cs="Arial"/>
          <w:b/>
        </w:rPr>
      </w:pPr>
    </w:p>
    <w:p w14:paraId="30CF38E4" w14:textId="1C78952E" w:rsidR="004540A7" w:rsidRPr="002D1C7E" w:rsidRDefault="00CA16D2" w:rsidP="004540A7">
      <w:pPr>
        <w:spacing w:after="0"/>
        <w:rPr>
          <w:rFonts w:cs="Arial"/>
          <w:b/>
        </w:rPr>
      </w:pPr>
      <w:r>
        <w:rPr>
          <w:noProof/>
          <w:lang w:eastAsia="en-GB"/>
        </w:rPr>
        <w:drawing>
          <wp:inline distT="0" distB="0" distL="0" distR="0" wp14:anchorId="58FFD403" wp14:editId="3837D53B">
            <wp:extent cx="6120130" cy="4008120"/>
            <wp:effectExtent l="0" t="0" r="13970" b="1143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8C65181" w14:textId="77777777" w:rsidR="004540A7" w:rsidRPr="002D1C7E" w:rsidRDefault="004540A7" w:rsidP="004540A7">
      <w:pPr>
        <w:spacing w:after="0"/>
        <w:rPr>
          <w:rFonts w:cs="Arial"/>
          <w:i/>
        </w:rPr>
      </w:pPr>
    </w:p>
    <w:p w14:paraId="0B319111" w14:textId="48882E67" w:rsidR="004540A7" w:rsidRPr="002D1C7E" w:rsidRDefault="00CA16D2" w:rsidP="004540A7">
      <w:pPr>
        <w:spacing w:after="0"/>
        <w:rPr>
          <w:rFonts w:cs="Arial"/>
          <w:b/>
        </w:rPr>
      </w:pPr>
      <w:r>
        <w:rPr>
          <w:noProof/>
          <w:lang w:eastAsia="en-GB"/>
        </w:rPr>
        <w:drawing>
          <wp:inline distT="0" distB="0" distL="0" distR="0" wp14:anchorId="2B6907A7" wp14:editId="386A6116">
            <wp:extent cx="6120130" cy="3853180"/>
            <wp:effectExtent l="0" t="0" r="13970" b="1397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796EC6E" w14:textId="77777777" w:rsidR="004540A7" w:rsidRPr="006D1687" w:rsidRDefault="004540A7" w:rsidP="004540A7">
      <w:pPr>
        <w:spacing w:after="0"/>
        <w:rPr>
          <w:rFonts w:cs="Arial"/>
          <w:i/>
          <w:sz w:val="22"/>
        </w:rPr>
      </w:pPr>
      <w:r w:rsidRPr="006D1687">
        <w:rPr>
          <w:rFonts w:cs="Arial"/>
          <w:i/>
          <w:sz w:val="22"/>
        </w:rPr>
        <w:t>Demographic information taken from Cerner</w:t>
      </w:r>
    </w:p>
    <w:p w14:paraId="43F8F4BA" w14:textId="77777777" w:rsidR="004540A7" w:rsidRPr="002D1C7E" w:rsidRDefault="004540A7" w:rsidP="004540A7">
      <w:pPr>
        <w:spacing w:after="0"/>
        <w:rPr>
          <w:rFonts w:cs="Arial"/>
          <w:b/>
        </w:rPr>
      </w:pPr>
    </w:p>
    <w:p w14:paraId="40D16953" w14:textId="77777777" w:rsidR="004540A7" w:rsidRPr="002D1C7E" w:rsidRDefault="004540A7" w:rsidP="004540A7">
      <w:pPr>
        <w:rPr>
          <w:rFonts w:cs="Arial"/>
          <w:b/>
        </w:rPr>
      </w:pPr>
      <w:r w:rsidRPr="002D1C7E">
        <w:rPr>
          <w:rFonts w:cs="Arial"/>
          <w:b/>
        </w:rPr>
        <w:br w:type="page"/>
      </w:r>
    </w:p>
    <w:p w14:paraId="3CC26241" w14:textId="77777777" w:rsidR="004540A7" w:rsidRPr="002D1C7E" w:rsidRDefault="004540A7" w:rsidP="004540A7">
      <w:pPr>
        <w:spacing w:after="0"/>
        <w:rPr>
          <w:rFonts w:cs="Arial"/>
          <w:b/>
        </w:rPr>
      </w:pPr>
      <w:r w:rsidRPr="002D1C7E">
        <w:rPr>
          <w:rFonts w:cs="Arial"/>
          <w:b/>
        </w:rPr>
        <w:lastRenderedPageBreak/>
        <w:t>Complaints received per 1000 bed days:</w:t>
      </w:r>
    </w:p>
    <w:p w14:paraId="08402DEF" w14:textId="77777777" w:rsidR="004540A7" w:rsidRPr="002D1C7E" w:rsidRDefault="004540A7" w:rsidP="004540A7">
      <w:pPr>
        <w:spacing w:after="0"/>
        <w:rPr>
          <w:rFonts w:cs="Arial"/>
          <w:b/>
        </w:rPr>
      </w:pPr>
    </w:p>
    <w:tbl>
      <w:tblPr>
        <w:tblW w:w="10719" w:type="dxa"/>
        <w:tblInd w:w="-714" w:type="dxa"/>
        <w:tblLook w:val="04A0" w:firstRow="1" w:lastRow="0" w:firstColumn="1" w:lastColumn="0" w:noHBand="0" w:noVBand="1"/>
      </w:tblPr>
      <w:tblGrid>
        <w:gridCol w:w="1395"/>
        <w:gridCol w:w="777"/>
        <w:gridCol w:w="777"/>
        <w:gridCol w:w="777"/>
        <w:gridCol w:w="777"/>
        <w:gridCol w:w="777"/>
        <w:gridCol w:w="777"/>
        <w:gridCol w:w="777"/>
        <w:gridCol w:w="777"/>
        <w:gridCol w:w="777"/>
        <w:gridCol w:w="777"/>
        <w:gridCol w:w="777"/>
        <w:gridCol w:w="777"/>
      </w:tblGrid>
      <w:tr w:rsidR="006D1687" w:rsidRPr="00C256C6" w14:paraId="15155068" w14:textId="6A464900" w:rsidTr="00C262DB">
        <w:trPr>
          <w:trHeight w:val="300"/>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EE6E5" w14:textId="77777777" w:rsidR="006D1687" w:rsidRPr="00C256C6" w:rsidRDefault="006D1687" w:rsidP="00064BC1">
            <w:pPr>
              <w:spacing w:after="0"/>
              <w:jc w:val="right"/>
              <w:rPr>
                <w:rFonts w:eastAsia="Times New Roman" w:cs="Arial"/>
                <w:b/>
                <w:bCs/>
                <w:color w:val="000000"/>
                <w:sz w:val="20"/>
                <w:szCs w:val="20"/>
                <w:lang w:eastAsia="en-GB"/>
              </w:rPr>
            </w:pPr>
            <w:r w:rsidRPr="00C256C6">
              <w:rPr>
                <w:rFonts w:eastAsia="Times New Roman" w:cs="Arial"/>
                <w:b/>
                <w:bCs/>
                <w:color w:val="000000"/>
                <w:sz w:val="20"/>
                <w:szCs w:val="20"/>
                <w:lang w:eastAsia="en-GB"/>
              </w:rPr>
              <w:t xml:space="preserve">Month: </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14:paraId="1F5C9418" w14:textId="77777777" w:rsidR="006D1687" w:rsidRPr="00C256C6" w:rsidRDefault="006D1687" w:rsidP="00064BC1">
            <w:pPr>
              <w:spacing w:after="0"/>
              <w:jc w:val="center"/>
              <w:rPr>
                <w:rFonts w:eastAsia="Times New Roman" w:cs="Arial"/>
                <w:b/>
                <w:bCs/>
                <w:color w:val="000000"/>
                <w:sz w:val="20"/>
                <w:szCs w:val="20"/>
                <w:lang w:eastAsia="en-GB"/>
              </w:rPr>
            </w:pPr>
            <w:r w:rsidRPr="00C256C6">
              <w:rPr>
                <w:rFonts w:eastAsia="Times New Roman" w:cs="Arial"/>
                <w:b/>
                <w:bCs/>
                <w:color w:val="000000"/>
                <w:sz w:val="20"/>
                <w:szCs w:val="20"/>
                <w:lang w:eastAsia="en-GB"/>
              </w:rPr>
              <w:t>Apr</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14:paraId="3DAA1956" w14:textId="77777777" w:rsidR="006D1687" w:rsidRPr="00C256C6" w:rsidRDefault="006D1687" w:rsidP="00064BC1">
            <w:pPr>
              <w:spacing w:after="0"/>
              <w:jc w:val="center"/>
              <w:rPr>
                <w:rFonts w:eastAsia="Times New Roman" w:cs="Arial"/>
                <w:b/>
                <w:bCs/>
                <w:color w:val="000000"/>
                <w:sz w:val="20"/>
                <w:szCs w:val="20"/>
                <w:lang w:eastAsia="en-GB"/>
              </w:rPr>
            </w:pPr>
            <w:r w:rsidRPr="00C256C6">
              <w:rPr>
                <w:rFonts w:eastAsia="Times New Roman" w:cs="Arial"/>
                <w:b/>
                <w:bCs/>
                <w:color w:val="000000"/>
                <w:sz w:val="20"/>
                <w:szCs w:val="20"/>
                <w:lang w:eastAsia="en-GB"/>
              </w:rPr>
              <w:t>May</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14:paraId="419AD00F" w14:textId="77777777" w:rsidR="006D1687" w:rsidRPr="00C256C6" w:rsidRDefault="006D1687" w:rsidP="00064BC1">
            <w:pPr>
              <w:spacing w:after="0"/>
              <w:jc w:val="center"/>
              <w:rPr>
                <w:rFonts w:eastAsia="Times New Roman" w:cs="Arial"/>
                <w:b/>
                <w:bCs/>
                <w:color w:val="000000"/>
                <w:sz w:val="20"/>
                <w:szCs w:val="20"/>
                <w:lang w:eastAsia="en-GB"/>
              </w:rPr>
            </w:pPr>
            <w:r w:rsidRPr="00C256C6">
              <w:rPr>
                <w:rFonts w:eastAsia="Times New Roman" w:cs="Arial"/>
                <w:b/>
                <w:bCs/>
                <w:color w:val="000000"/>
                <w:sz w:val="20"/>
                <w:szCs w:val="20"/>
                <w:lang w:eastAsia="en-GB"/>
              </w:rPr>
              <w:t>Jun</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14:paraId="6B2CA4CA" w14:textId="77777777" w:rsidR="006D1687" w:rsidRPr="00C256C6" w:rsidRDefault="006D1687" w:rsidP="00064BC1">
            <w:pPr>
              <w:spacing w:after="0"/>
              <w:jc w:val="center"/>
              <w:rPr>
                <w:rFonts w:eastAsia="Times New Roman" w:cs="Arial"/>
                <w:b/>
                <w:bCs/>
                <w:color w:val="000000"/>
                <w:sz w:val="20"/>
                <w:szCs w:val="20"/>
                <w:lang w:eastAsia="en-GB"/>
              </w:rPr>
            </w:pPr>
            <w:r w:rsidRPr="00C256C6">
              <w:rPr>
                <w:rFonts w:eastAsia="Times New Roman" w:cs="Arial"/>
                <w:b/>
                <w:bCs/>
                <w:color w:val="000000"/>
                <w:sz w:val="20"/>
                <w:szCs w:val="20"/>
                <w:lang w:eastAsia="en-GB"/>
              </w:rPr>
              <w:t>Jul</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14:paraId="2ABAD551" w14:textId="77777777" w:rsidR="006D1687" w:rsidRPr="00C256C6" w:rsidRDefault="006D1687" w:rsidP="00064BC1">
            <w:pPr>
              <w:spacing w:after="0"/>
              <w:jc w:val="center"/>
              <w:rPr>
                <w:rFonts w:eastAsia="Times New Roman" w:cs="Arial"/>
                <w:b/>
                <w:bCs/>
                <w:color w:val="000000"/>
                <w:sz w:val="20"/>
                <w:szCs w:val="20"/>
                <w:lang w:eastAsia="en-GB"/>
              </w:rPr>
            </w:pPr>
            <w:r w:rsidRPr="00C256C6">
              <w:rPr>
                <w:rFonts w:eastAsia="Times New Roman" w:cs="Arial"/>
                <w:b/>
                <w:bCs/>
                <w:color w:val="000000"/>
                <w:sz w:val="20"/>
                <w:szCs w:val="20"/>
                <w:lang w:eastAsia="en-GB"/>
              </w:rPr>
              <w:t>Aug</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14:paraId="5C9648AF" w14:textId="77777777" w:rsidR="006D1687" w:rsidRPr="00C256C6" w:rsidRDefault="006D1687" w:rsidP="00064BC1">
            <w:pPr>
              <w:spacing w:after="0"/>
              <w:jc w:val="center"/>
              <w:rPr>
                <w:rFonts w:eastAsia="Times New Roman" w:cs="Arial"/>
                <w:b/>
                <w:bCs/>
                <w:color w:val="000000"/>
                <w:sz w:val="20"/>
                <w:szCs w:val="20"/>
                <w:lang w:eastAsia="en-GB"/>
              </w:rPr>
            </w:pPr>
            <w:r w:rsidRPr="00C256C6">
              <w:rPr>
                <w:rFonts w:eastAsia="Times New Roman" w:cs="Arial"/>
                <w:b/>
                <w:bCs/>
                <w:color w:val="000000"/>
                <w:sz w:val="20"/>
                <w:szCs w:val="20"/>
                <w:lang w:eastAsia="en-GB"/>
              </w:rPr>
              <w:t>Sep</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14:paraId="0C6F4DA0" w14:textId="77777777" w:rsidR="006D1687" w:rsidRPr="00C256C6" w:rsidRDefault="006D1687" w:rsidP="00064BC1">
            <w:pPr>
              <w:spacing w:after="0"/>
              <w:jc w:val="center"/>
              <w:rPr>
                <w:rFonts w:eastAsia="Times New Roman" w:cs="Arial"/>
                <w:b/>
                <w:color w:val="000000"/>
                <w:sz w:val="20"/>
                <w:szCs w:val="20"/>
                <w:lang w:eastAsia="en-GB"/>
              </w:rPr>
            </w:pPr>
            <w:r w:rsidRPr="00C256C6">
              <w:rPr>
                <w:rFonts w:eastAsia="Times New Roman" w:cs="Arial"/>
                <w:b/>
                <w:color w:val="000000"/>
                <w:sz w:val="20"/>
                <w:szCs w:val="20"/>
                <w:lang w:eastAsia="en-GB"/>
              </w:rPr>
              <w:t>Oct</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14:paraId="2501A3C1" w14:textId="77777777" w:rsidR="006D1687" w:rsidRPr="00C256C6" w:rsidRDefault="006D1687" w:rsidP="00064BC1">
            <w:pPr>
              <w:spacing w:after="0"/>
              <w:jc w:val="center"/>
              <w:rPr>
                <w:rFonts w:eastAsia="Times New Roman" w:cs="Arial"/>
                <w:b/>
                <w:color w:val="000000"/>
                <w:sz w:val="20"/>
                <w:szCs w:val="20"/>
                <w:lang w:eastAsia="en-GB"/>
              </w:rPr>
            </w:pPr>
            <w:r w:rsidRPr="00C256C6">
              <w:rPr>
                <w:rFonts w:eastAsia="Times New Roman" w:cs="Arial"/>
                <w:b/>
                <w:color w:val="000000"/>
                <w:sz w:val="20"/>
                <w:szCs w:val="20"/>
                <w:lang w:eastAsia="en-GB"/>
              </w:rPr>
              <w:t>Nov</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14:paraId="4AF3F888" w14:textId="77777777" w:rsidR="006D1687" w:rsidRPr="00C256C6" w:rsidRDefault="006D1687" w:rsidP="00064BC1">
            <w:pPr>
              <w:spacing w:after="0"/>
              <w:jc w:val="center"/>
              <w:rPr>
                <w:rFonts w:eastAsia="Times New Roman" w:cs="Arial"/>
                <w:b/>
                <w:color w:val="000000"/>
                <w:sz w:val="20"/>
                <w:szCs w:val="20"/>
                <w:lang w:eastAsia="en-GB"/>
              </w:rPr>
            </w:pPr>
            <w:r w:rsidRPr="00C256C6">
              <w:rPr>
                <w:rFonts w:eastAsia="Times New Roman" w:cs="Arial"/>
                <w:b/>
                <w:color w:val="000000"/>
                <w:sz w:val="20"/>
                <w:szCs w:val="20"/>
                <w:lang w:eastAsia="en-GB"/>
              </w:rPr>
              <w:t>Dec</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14:paraId="0C9255F2" w14:textId="77777777" w:rsidR="006D1687" w:rsidRPr="00C256C6" w:rsidRDefault="006D1687" w:rsidP="00064BC1">
            <w:pPr>
              <w:spacing w:after="0"/>
              <w:jc w:val="center"/>
              <w:rPr>
                <w:rFonts w:eastAsia="Times New Roman" w:cs="Arial"/>
                <w:b/>
                <w:color w:val="000000"/>
                <w:sz w:val="20"/>
                <w:szCs w:val="20"/>
                <w:lang w:eastAsia="en-GB"/>
              </w:rPr>
            </w:pPr>
            <w:r w:rsidRPr="00C256C6">
              <w:rPr>
                <w:rFonts w:eastAsia="Times New Roman" w:cs="Arial"/>
                <w:b/>
                <w:color w:val="000000"/>
                <w:sz w:val="20"/>
                <w:szCs w:val="20"/>
                <w:lang w:eastAsia="en-GB"/>
              </w:rPr>
              <w:t>Jan</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14:paraId="64F7E4E7" w14:textId="77777777" w:rsidR="006D1687" w:rsidRPr="00C256C6" w:rsidRDefault="006D1687" w:rsidP="00064BC1">
            <w:pPr>
              <w:spacing w:after="0"/>
              <w:jc w:val="center"/>
              <w:rPr>
                <w:rFonts w:eastAsia="Times New Roman" w:cs="Arial"/>
                <w:b/>
                <w:color w:val="000000"/>
                <w:sz w:val="20"/>
                <w:szCs w:val="20"/>
                <w:lang w:eastAsia="en-GB"/>
              </w:rPr>
            </w:pPr>
            <w:r w:rsidRPr="00C256C6">
              <w:rPr>
                <w:rFonts w:eastAsia="Times New Roman" w:cs="Arial"/>
                <w:b/>
                <w:color w:val="000000"/>
                <w:sz w:val="20"/>
                <w:szCs w:val="20"/>
                <w:lang w:eastAsia="en-GB"/>
              </w:rPr>
              <w:t>Feb</w:t>
            </w:r>
          </w:p>
        </w:tc>
        <w:tc>
          <w:tcPr>
            <w:tcW w:w="777" w:type="dxa"/>
            <w:tcBorders>
              <w:top w:val="single" w:sz="4" w:space="0" w:color="auto"/>
              <w:left w:val="nil"/>
              <w:bottom w:val="single" w:sz="4" w:space="0" w:color="auto"/>
              <w:right w:val="single" w:sz="4" w:space="0" w:color="auto"/>
            </w:tcBorders>
            <w:vAlign w:val="bottom"/>
          </w:tcPr>
          <w:p w14:paraId="256B873A" w14:textId="67593F9A" w:rsidR="006D1687" w:rsidRPr="00C256C6" w:rsidRDefault="006D1687" w:rsidP="006D1687">
            <w:pPr>
              <w:spacing w:after="0"/>
              <w:jc w:val="center"/>
              <w:rPr>
                <w:rFonts w:eastAsia="Times New Roman" w:cs="Arial"/>
                <w:b/>
                <w:color w:val="000000"/>
                <w:sz w:val="20"/>
                <w:szCs w:val="20"/>
                <w:lang w:eastAsia="en-GB"/>
              </w:rPr>
            </w:pPr>
            <w:r>
              <w:rPr>
                <w:rFonts w:eastAsia="Times New Roman" w:cs="Arial"/>
                <w:b/>
                <w:color w:val="000000"/>
                <w:sz w:val="20"/>
                <w:szCs w:val="20"/>
                <w:lang w:eastAsia="en-GB"/>
              </w:rPr>
              <w:t>Mar</w:t>
            </w:r>
          </w:p>
        </w:tc>
      </w:tr>
      <w:tr w:rsidR="006D1687" w:rsidRPr="00C256C6" w14:paraId="5B4BA64C" w14:textId="292F8A13" w:rsidTr="00C262DB">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6DBA5B21" w14:textId="77777777" w:rsidR="006D1687" w:rsidRPr="00C256C6" w:rsidRDefault="006D1687" w:rsidP="00064BC1">
            <w:pPr>
              <w:spacing w:after="0"/>
              <w:jc w:val="right"/>
              <w:rPr>
                <w:rFonts w:eastAsia="Times New Roman" w:cs="Arial"/>
                <w:b/>
                <w:bCs/>
                <w:color w:val="000000"/>
                <w:sz w:val="20"/>
                <w:szCs w:val="20"/>
                <w:lang w:eastAsia="en-GB"/>
              </w:rPr>
            </w:pPr>
            <w:r w:rsidRPr="00C256C6">
              <w:rPr>
                <w:rFonts w:eastAsia="Times New Roman" w:cs="Arial"/>
                <w:b/>
                <w:bCs/>
                <w:color w:val="000000"/>
                <w:sz w:val="20"/>
                <w:szCs w:val="20"/>
                <w:lang w:eastAsia="en-GB"/>
              </w:rPr>
              <w:t>Bed days:</w:t>
            </w:r>
          </w:p>
        </w:tc>
        <w:tc>
          <w:tcPr>
            <w:tcW w:w="777" w:type="dxa"/>
            <w:tcBorders>
              <w:top w:val="nil"/>
              <w:left w:val="nil"/>
              <w:bottom w:val="single" w:sz="4" w:space="0" w:color="auto"/>
              <w:right w:val="single" w:sz="4" w:space="0" w:color="auto"/>
            </w:tcBorders>
            <w:shd w:val="clear" w:color="auto" w:fill="auto"/>
            <w:noWrap/>
            <w:vAlign w:val="bottom"/>
            <w:hideMark/>
          </w:tcPr>
          <w:p w14:paraId="2146E76B" w14:textId="77777777" w:rsidR="006D1687" w:rsidRPr="00C256C6" w:rsidRDefault="006D1687" w:rsidP="00064BC1">
            <w:pPr>
              <w:spacing w:after="0"/>
              <w:jc w:val="center"/>
              <w:rPr>
                <w:rFonts w:eastAsia="Times New Roman" w:cs="Arial"/>
                <w:color w:val="000000"/>
                <w:sz w:val="20"/>
                <w:szCs w:val="20"/>
                <w:lang w:eastAsia="en-GB"/>
              </w:rPr>
            </w:pPr>
            <w:r w:rsidRPr="00C256C6">
              <w:rPr>
                <w:rFonts w:eastAsia="Times New Roman" w:cs="Arial"/>
                <w:color w:val="000000"/>
                <w:sz w:val="20"/>
                <w:szCs w:val="20"/>
                <w:lang w:eastAsia="en-GB"/>
              </w:rPr>
              <w:t>24668</w:t>
            </w:r>
          </w:p>
        </w:tc>
        <w:tc>
          <w:tcPr>
            <w:tcW w:w="777" w:type="dxa"/>
            <w:tcBorders>
              <w:top w:val="nil"/>
              <w:left w:val="nil"/>
              <w:bottom w:val="single" w:sz="4" w:space="0" w:color="auto"/>
              <w:right w:val="single" w:sz="4" w:space="0" w:color="auto"/>
            </w:tcBorders>
            <w:shd w:val="clear" w:color="auto" w:fill="auto"/>
            <w:noWrap/>
            <w:vAlign w:val="bottom"/>
            <w:hideMark/>
          </w:tcPr>
          <w:p w14:paraId="3828B309" w14:textId="77777777" w:rsidR="006D1687" w:rsidRPr="00C256C6" w:rsidRDefault="006D1687" w:rsidP="00064BC1">
            <w:pPr>
              <w:spacing w:after="0"/>
              <w:jc w:val="center"/>
              <w:rPr>
                <w:rFonts w:eastAsia="Times New Roman" w:cs="Arial"/>
                <w:color w:val="000000"/>
                <w:sz w:val="20"/>
                <w:szCs w:val="20"/>
                <w:lang w:eastAsia="en-GB"/>
              </w:rPr>
            </w:pPr>
            <w:r w:rsidRPr="00C256C6">
              <w:rPr>
                <w:rFonts w:eastAsia="Times New Roman" w:cs="Arial"/>
                <w:color w:val="000000"/>
                <w:sz w:val="20"/>
                <w:szCs w:val="20"/>
                <w:lang w:eastAsia="en-GB"/>
              </w:rPr>
              <w:t>24473</w:t>
            </w:r>
          </w:p>
        </w:tc>
        <w:tc>
          <w:tcPr>
            <w:tcW w:w="777" w:type="dxa"/>
            <w:tcBorders>
              <w:top w:val="nil"/>
              <w:left w:val="nil"/>
              <w:bottom w:val="single" w:sz="4" w:space="0" w:color="auto"/>
              <w:right w:val="single" w:sz="4" w:space="0" w:color="auto"/>
            </w:tcBorders>
            <w:shd w:val="clear" w:color="auto" w:fill="auto"/>
            <w:noWrap/>
            <w:vAlign w:val="bottom"/>
            <w:hideMark/>
          </w:tcPr>
          <w:p w14:paraId="0C693ED5" w14:textId="77777777" w:rsidR="006D1687" w:rsidRPr="00C256C6" w:rsidRDefault="006D1687" w:rsidP="00064BC1">
            <w:pPr>
              <w:spacing w:after="0"/>
              <w:jc w:val="center"/>
              <w:rPr>
                <w:rFonts w:eastAsia="Times New Roman" w:cs="Arial"/>
                <w:color w:val="000000"/>
                <w:sz w:val="20"/>
                <w:szCs w:val="20"/>
                <w:lang w:eastAsia="en-GB"/>
              </w:rPr>
            </w:pPr>
            <w:r w:rsidRPr="00C256C6">
              <w:rPr>
                <w:rFonts w:eastAsia="Times New Roman" w:cs="Arial"/>
                <w:color w:val="000000"/>
                <w:sz w:val="20"/>
                <w:szCs w:val="20"/>
                <w:lang w:eastAsia="en-GB"/>
              </w:rPr>
              <w:t>23483</w:t>
            </w:r>
          </w:p>
        </w:tc>
        <w:tc>
          <w:tcPr>
            <w:tcW w:w="777" w:type="dxa"/>
            <w:tcBorders>
              <w:top w:val="nil"/>
              <w:left w:val="nil"/>
              <w:bottom w:val="single" w:sz="4" w:space="0" w:color="auto"/>
              <w:right w:val="single" w:sz="4" w:space="0" w:color="auto"/>
            </w:tcBorders>
            <w:shd w:val="clear" w:color="auto" w:fill="auto"/>
            <w:noWrap/>
            <w:vAlign w:val="bottom"/>
            <w:hideMark/>
          </w:tcPr>
          <w:p w14:paraId="3C9C2DB2" w14:textId="77777777" w:rsidR="006D1687" w:rsidRPr="00C256C6" w:rsidRDefault="006D1687" w:rsidP="00064BC1">
            <w:pPr>
              <w:spacing w:after="0"/>
              <w:jc w:val="center"/>
              <w:rPr>
                <w:rFonts w:eastAsia="Times New Roman" w:cs="Arial"/>
                <w:color w:val="000000"/>
                <w:sz w:val="20"/>
                <w:szCs w:val="20"/>
                <w:lang w:eastAsia="en-GB"/>
              </w:rPr>
            </w:pPr>
            <w:r w:rsidRPr="00C256C6">
              <w:rPr>
                <w:rFonts w:eastAsia="Times New Roman" w:cs="Arial"/>
                <w:color w:val="000000"/>
                <w:sz w:val="20"/>
                <w:szCs w:val="20"/>
                <w:lang w:eastAsia="en-GB"/>
              </w:rPr>
              <w:t>23458</w:t>
            </w:r>
          </w:p>
        </w:tc>
        <w:tc>
          <w:tcPr>
            <w:tcW w:w="777" w:type="dxa"/>
            <w:tcBorders>
              <w:top w:val="nil"/>
              <w:left w:val="nil"/>
              <w:bottom w:val="single" w:sz="4" w:space="0" w:color="auto"/>
              <w:right w:val="single" w:sz="4" w:space="0" w:color="auto"/>
            </w:tcBorders>
            <w:shd w:val="clear" w:color="auto" w:fill="auto"/>
            <w:noWrap/>
            <w:vAlign w:val="bottom"/>
            <w:hideMark/>
          </w:tcPr>
          <w:p w14:paraId="4E91E7F8" w14:textId="77777777" w:rsidR="006D1687" w:rsidRPr="00C256C6" w:rsidRDefault="006D1687" w:rsidP="00064BC1">
            <w:pPr>
              <w:spacing w:after="0"/>
              <w:jc w:val="center"/>
              <w:rPr>
                <w:rFonts w:eastAsia="Times New Roman" w:cs="Arial"/>
                <w:color w:val="000000"/>
                <w:sz w:val="20"/>
                <w:szCs w:val="20"/>
                <w:lang w:eastAsia="en-GB"/>
              </w:rPr>
            </w:pPr>
            <w:r w:rsidRPr="00C256C6">
              <w:rPr>
                <w:rFonts w:eastAsia="Times New Roman" w:cs="Arial"/>
                <w:color w:val="000000"/>
                <w:sz w:val="20"/>
                <w:szCs w:val="20"/>
                <w:lang w:eastAsia="en-GB"/>
              </w:rPr>
              <w:t>23536</w:t>
            </w:r>
          </w:p>
        </w:tc>
        <w:tc>
          <w:tcPr>
            <w:tcW w:w="777" w:type="dxa"/>
            <w:tcBorders>
              <w:top w:val="nil"/>
              <w:left w:val="nil"/>
              <w:bottom w:val="single" w:sz="4" w:space="0" w:color="auto"/>
              <w:right w:val="single" w:sz="4" w:space="0" w:color="auto"/>
            </w:tcBorders>
            <w:shd w:val="clear" w:color="auto" w:fill="auto"/>
            <w:noWrap/>
            <w:vAlign w:val="bottom"/>
            <w:hideMark/>
          </w:tcPr>
          <w:p w14:paraId="4E7CFAEC" w14:textId="77777777" w:rsidR="006D1687" w:rsidRPr="00C256C6" w:rsidRDefault="006D1687" w:rsidP="00064BC1">
            <w:pPr>
              <w:spacing w:after="0"/>
              <w:jc w:val="center"/>
              <w:rPr>
                <w:rFonts w:eastAsia="Times New Roman" w:cs="Arial"/>
                <w:color w:val="000000"/>
                <w:sz w:val="20"/>
                <w:szCs w:val="20"/>
                <w:lang w:eastAsia="en-GB"/>
              </w:rPr>
            </w:pPr>
            <w:r w:rsidRPr="00C256C6">
              <w:rPr>
                <w:rFonts w:eastAsia="Times New Roman" w:cs="Arial"/>
                <w:color w:val="000000"/>
                <w:sz w:val="20"/>
                <w:szCs w:val="20"/>
                <w:lang w:eastAsia="en-GB"/>
              </w:rPr>
              <w:t>23387</w:t>
            </w:r>
          </w:p>
        </w:tc>
        <w:tc>
          <w:tcPr>
            <w:tcW w:w="777" w:type="dxa"/>
            <w:tcBorders>
              <w:top w:val="nil"/>
              <w:left w:val="nil"/>
              <w:bottom w:val="single" w:sz="4" w:space="0" w:color="auto"/>
              <w:right w:val="single" w:sz="4" w:space="0" w:color="auto"/>
            </w:tcBorders>
            <w:shd w:val="clear" w:color="auto" w:fill="auto"/>
            <w:noWrap/>
            <w:vAlign w:val="bottom"/>
            <w:hideMark/>
          </w:tcPr>
          <w:p w14:paraId="2BB303CE" w14:textId="77777777" w:rsidR="006D1687" w:rsidRPr="00C256C6" w:rsidRDefault="006D1687" w:rsidP="00064BC1">
            <w:pPr>
              <w:spacing w:after="0"/>
              <w:jc w:val="center"/>
              <w:rPr>
                <w:rFonts w:eastAsia="Times New Roman" w:cs="Arial"/>
                <w:color w:val="000000"/>
                <w:sz w:val="20"/>
                <w:szCs w:val="20"/>
                <w:lang w:eastAsia="en-GB"/>
              </w:rPr>
            </w:pPr>
            <w:r w:rsidRPr="00C256C6">
              <w:rPr>
                <w:rFonts w:eastAsia="Times New Roman" w:cs="Arial"/>
                <w:color w:val="000000"/>
                <w:sz w:val="20"/>
                <w:szCs w:val="20"/>
                <w:lang w:eastAsia="en-GB"/>
              </w:rPr>
              <w:t>22772</w:t>
            </w:r>
          </w:p>
        </w:tc>
        <w:tc>
          <w:tcPr>
            <w:tcW w:w="777" w:type="dxa"/>
            <w:tcBorders>
              <w:top w:val="nil"/>
              <w:left w:val="nil"/>
              <w:bottom w:val="single" w:sz="4" w:space="0" w:color="auto"/>
              <w:right w:val="single" w:sz="4" w:space="0" w:color="auto"/>
            </w:tcBorders>
            <w:shd w:val="clear" w:color="auto" w:fill="auto"/>
            <w:noWrap/>
            <w:vAlign w:val="bottom"/>
            <w:hideMark/>
          </w:tcPr>
          <w:p w14:paraId="0DA5C809" w14:textId="77777777" w:rsidR="006D1687" w:rsidRPr="00C256C6" w:rsidRDefault="006D1687" w:rsidP="00064BC1">
            <w:pPr>
              <w:spacing w:after="0"/>
              <w:jc w:val="center"/>
              <w:rPr>
                <w:rFonts w:eastAsia="Times New Roman" w:cs="Arial"/>
                <w:color w:val="000000"/>
                <w:sz w:val="20"/>
                <w:szCs w:val="20"/>
                <w:lang w:eastAsia="en-GB"/>
              </w:rPr>
            </w:pPr>
            <w:r w:rsidRPr="00C256C6">
              <w:rPr>
                <w:rFonts w:eastAsia="Times New Roman" w:cs="Arial"/>
                <w:color w:val="000000"/>
                <w:sz w:val="20"/>
                <w:szCs w:val="20"/>
                <w:lang w:eastAsia="en-GB"/>
              </w:rPr>
              <w:t>23381</w:t>
            </w:r>
          </w:p>
        </w:tc>
        <w:tc>
          <w:tcPr>
            <w:tcW w:w="777" w:type="dxa"/>
            <w:tcBorders>
              <w:top w:val="nil"/>
              <w:left w:val="nil"/>
              <w:bottom w:val="single" w:sz="4" w:space="0" w:color="auto"/>
              <w:right w:val="single" w:sz="4" w:space="0" w:color="auto"/>
            </w:tcBorders>
            <w:shd w:val="clear" w:color="auto" w:fill="auto"/>
            <w:noWrap/>
            <w:vAlign w:val="bottom"/>
            <w:hideMark/>
          </w:tcPr>
          <w:p w14:paraId="2BF7BEB6" w14:textId="77777777" w:rsidR="006D1687" w:rsidRPr="00C256C6" w:rsidRDefault="006D1687" w:rsidP="00064BC1">
            <w:pPr>
              <w:spacing w:after="0"/>
              <w:jc w:val="center"/>
              <w:rPr>
                <w:rFonts w:eastAsia="Times New Roman" w:cs="Arial"/>
                <w:color w:val="000000"/>
                <w:sz w:val="20"/>
                <w:szCs w:val="20"/>
                <w:lang w:eastAsia="en-GB"/>
              </w:rPr>
            </w:pPr>
            <w:r w:rsidRPr="00C256C6">
              <w:rPr>
                <w:rFonts w:eastAsia="Times New Roman" w:cs="Arial"/>
                <w:color w:val="000000"/>
                <w:sz w:val="20"/>
                <w:szCs w:val="20"/>
                <w:lang w:eastAsia="en-GB"/>
              </w:rPr>
              <w:t>25566</w:t>
            </w:r>
          </w:p>
        </w:tc>
        <w:tc>
          <w:tcPr>
            <w:tcW w:w="777" w:type="dxa"/>
            <w:tcBorders>
              <w:top w:val="nil"/>
              <w:left w:val="nil"/>
              <w:bottom w:val="single" w:sz="4" w:space="0" w:color="auto"/>
              <w:right w:val="single" w:sz="4" w:space="0" w:color="auto"/>
            </w:tcBorders>
            <w:shd w:val="clear" w:color="auto" w:fill="auto"/>
            <w:noWrap/>
            <w:vAlign w:val="bottom"/>
            <w:hideMark/>
          </w:tcPr>
          <w:p w14:paraId="5A5C23DB" w14:textId="77777777" w:rsidR="006D1687" w:rsidRPr="00C256C6" w:rsidRDefault="006D1687" w:rsidP="00064BC1">
            <w:pPr>
              <w:spacing w:after="0"/>
              <w:jc w:val="center"/>
              <w:rPr>
                <w:rFonts w:eastAsia="Times New Roman" w:cs="Arial"/>
                <w:color w:val="000000"/>
                <w:sz w:val="20"/>
                <w:szCs w:val="20"/>
                <w:lang w:eastAsia="en-GB"/>
              </w:rPr>
            </w:pPr>
            <w:r w:rsidRPr="00C256C6">
              <w:rPr>
                <w:rFonts w:eastAsia="Times New Roman" w:cs="Arial"/>
                <w:color w:val="000000"/>
                <w:sz w:val="20"/>
                <w:szCs w:val="20"/>
                <w:lang w:eastAsia="en-GB"/>
              </w:rPr>
              <w:t>26393</w:t>
            </w:r>
          </w:p>
        </w:tc>
        <w:tc>
          <w:tcPr>
            <w:tcW w:w="777" w:type="dxa"/>
            <w:tcBorders>
              <w:top w:val="nil"/>
              <w:left w:val="nil"/>
              <w:bottom w:val="single" w:sz="4" w:space="0" w:color="auto"/>
              <w:right w:val="single" w:sz="4" w:space="0" w:color="auto"/>
            </w:tcBorders>
            <w:shd w:val="clear" w:color="auto" w:fill="auto"/>
            <w:noWrap/>
            <w:vAlign w:val="bottom"/>
            <w:hideMark/>
          </w:tcPr>
          <w:p w14:paraId="1BD87D4D" w14:textId="77777777" w:rsidR="006D1687" w:rsidRPr="00C256C6" w:rsidRDefault="006D1687" w:rsidP="00064BC1">
            <w:pPr>
              <w:spacing w:after="0"/>
              <w:jc w:val="center"/>
              <w:rPr>
                <w:rFonts w:eastAsia="Times New Roman" w:cs="Arial"/>
                <w:color w:val="000000"/>
                <w:sz w:val="20"/>
                <w:szCs w:val="20"/>
                <w:lang w:eastAsia="en-GB"/>
              </w:rPr>
            </w:pPr>
            <w:r w:rsidRPr="00C256C6">
              <w:rPr>
                <w:rFonts w:eastAsia="Times New Roman" w:cs="Arial"/>
                <w:color w:val="000000"/>
                <w:sz w:val="20"/>
                <w:szCs w:val="20"/>
                <w:lang w:eastAsia="en-GB"/>
              </w:rPr>
              <w:t>25717</w:t>
            </w:r>
          </w:p>
        </w:tc>
        <w:tc>
          <w:tcPr>
            <w:tcW w:w="777" w:type="dxa"/>
            <w:tcBorders>
              <w:top w:val="nil"/>
              <w:left w:val="nil"/>
              <w:bottom w:val="single" w:sz="4" w:space="0" w:color="auto"/>
              <w:right w:val="single" w:sz="4" w:space="0" w:color="auto"/>
            </w:tcBorders>
            <w:vAlign w:val="bottom"/>
          </w:tcPr>
          <w:p w14:paraId="1FD0B1C1" w14:textId="4DA63C5E" w:rsidR="006D1687" w:rsidRPr="00C256C6" w:rsidRDefault="006D1687" w:rsidP="006D1687">
            <w:pPr>
              <w:spacing w:after="0"/>
              <w:jc w:val="center"/>
              <w:rPr>
                <w:rFonts w:eastAsia="Times New Roman" w:cs="Arial"/>
                <w:color w:val="000000"/>
                <w:sz w:val="20"/>
                <w:szCs w:val="20"/>
                <w:lang w:eastAsia="en-GB"/>
              </w:rPr>
            </w:pPr>
            <w:r>
              <w:rPr>
                <w:rFonts w:eastAsia="Times New Roman" w:cs="Arial"/>
                <w:color w:val="000000"/>
                <w:sz w:val="20"/>
                <w:szCs w:val="20"/>
                <w:lang w:eastAsia="en-GB"/>
              </w:rPr>
              <w:t>26915</w:t>
            </w:r>
          </w:p>
        </w:tc>
      </w:tr>
      <w:tr w:rsidR="006D1687" w:rsidRPr="00C256C6" w14:paraId="7D5C7D97" w14:textId="243FEB18" w:rsidTr="00C262DB">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00379BB6" w14:textId="77777777" w:rsidR="006D1687" w:rsidRPr="00C256C6" w:rsidRDefault="006D1687" w:rsidP="00064BC1">
            <w:pPr>
              <w:spacing w:after="0"/>
              <w:jc w:val="right"/>
              <w:rPr>
                <w:rFonts w:eastAsia="Times New Roman" w:cs="Arial"/>
                <w:b/>
                <w:bCs/>
                <w:color w:val="000000"/>
                <w:sz w:val="20"/>
                <w:szCs w:val="20"/>
                <w:lang w:eastAsia="en-GB"/>
              </w:rPr>
            </w:pPr>
            <w:r w:rsidRPr="00C256C6">
              <w:rPr>
                <w:rFonts w:eastAsia="Times New Roman" w:cs="Arial"/>
                <w:b/>
                <w:bCs/>
                <w:color w:val="000000"/>
                <w:sz w:val="20"/>
                <w:szCs w:val="20"/>
                <w:lang w:eastAsia="en-GB"/>
              </w:rPr>
              <w:t>Complaints:</w:t>
            </w:r>
          </w:p>
        </w:tc>
        <w:tc>
          <w:tcPr>
            <w:tcW w:w="777" w:type="dxa"/>
            <w:tcBorders>
              <w:top w:val="nil"/>
              <w:left w:val="nil"/>
              <w:bottom w:val="single" w:sz="4" w:space="0" w:color="auto"/>
              <w:right w:val="single" w:sz="4" w:space="0" w:color="auto"/>
            </w:tcBorders>
            <w:shd w:val="clear" w:color="auto" w:fill="auto"/>
            <w:noWrap/>
            <w:vAlign w:val="bottom"/>
            <w:hideMark/>
          </w:tcPr>
          <w:p w14:paraId="705D5062" w14:textId="77777777" w:rsidR="006D1687" w:rsidRPr="00C256C6" w:rsidRDefault="006D1687" w:rsidP="00064BC1">
            <w:pPr>
              <w:spacing w:after="0"/>
              <w:jc w:val="center"/>
              <w:rPr>
                <w:rFonts w:eastAsia="Times New Roman" w:cs="Arial"/>
                <w:color w:val="000000"/>
                <w:sz w:val="20"/>
                <w:szCs w:val="20"/>
                <w:lang w:eastAsia="en-GB"/>
              </w:rPr>
            </w:pPr>
            <w:r w:rsidRPr="00C256C6">
              <w:rPr>
                <w:rFonts w:eastAsia="Times New Roman" w:cs="Arial"/>
                <w:color w:val="000000"/>
                <w:sz w:val="20"/>
                <w:szCs w:val="20"/>
                <w:lang w:eastAsia="en-GB"/>
              </w:rPr>
              <w:t>29</w:t>
            </w:r>
          </w:p>
        </w:tc>
        <w:tc>
          <w:tcPr>
            <w:tcW w:w="777" w:type="dxa"/>
            <w:tcBorders>
              <w:top w:val="nil"/>
              <w:left w:val="nil"/>
              <w:bottom w:val="single" w:sz="4" w:space="0" w:color="auto"/>
              <w:right w:val="single" w:sz="4" w:space="0" w:color="auto"/>
            </w:tcBorders>
            <w:shd w:val="clear" w:color="auto" w:fill="auto"/>
            <w:noWrap/>
            <w:vAlign w:val="bottom"/>
            <w:hideMark/>
          </w:tcPr>
          <w:p w14:paraId="46E1B371" w14:textId="77777777" w:rsidR="006D1687" w:rsidRPr="00C256C6" w:rsidRDefault="006D1687" w:rsidP="00064BC1">
            <w:pPr>
              <w:spacing w:after="0"/>
              <w:jc w:val="center"/>
              <w:rPr>
                <w:rFonts w:eastAsia="Times New Roman" w:cs="Arial"/>
                <w:color w:val="000000"/>
                <w:sz w:val="20"/>
                <w:szCs w:val="20"/>
                <w:lang w:eastAsia="en-GB"/>
              </w:rPr>
            </w:pPr>
            <w:r w:rsidRPr="00C256C6">
              <w:rPr>
                <w:rFonts w:eastAsia="Times New Roman" w:cs="Arial"/>
                <w:color w:val="000000"/>
                <w:sz w:val="20"/>
                <w:szCs w:val="20"/>
                <w:lang w:eastAsia="en-GB"/>
              </w:rPr>
              <w:t>51</w:t>
            </w:r>
          </w:p>
        </w:tc>
        <w:tc>
          <w:tcPr>
            <w:tcW w:w="777" w:type="dxa"/>
            <w:tcBorders>
              <w:top w:val="nil"/>
              <w:left w:val="nil"/>
              <w:bottom w:val="single" w:sz="4" w:space="0" w:color="auto"/>
              <w:right w:val="single" w:sz="4" w:space="0" w:color="auto"/>
            </w:tcBorders>
            <w:shd w:val="clear" w:color="auto" w:fill="auto"/>
            <w:noWrap/>
            <w:vAlign w:val="bottom"/>
            <w:hideMark/>
          </w:tcPr>
          <w:p w14:paraId="5BADD73B" w14:textId="77777777" w:rsidR="006D1687" w:rsidRPr="00C256C6" w:rsidRDefault="006D1687" w:rsidP="00064BC1">
            <w:pPr>
              <w:spacing w:after="0"/>
              <w:jc w:val="center"/>
              <w:rPr>
                <w:rFonts w:eastAsia="Times New Roman" w:cs="Arial"/>
                <w:color w:val="000000"/>
                <w:sz w:val="20"/>
                <w:szCs w:val="20"/>
                <w:lang w:eastAsia="en-GB"/>
              </w:rPr>
            </w:pPr>
            <w:r w:rsidRPr="00C256C6">
              <w:rPr>
                <w:rFonts w:eastAsia="Times New Roman" w:cs="Arial"/>
                <w:color w:val="000000"/>
                <w:sz w:val="20"/>
                <w:szCs w:val="20"/>
                <w:lang w:eastAsia="en-GB"/>
              </w:rPr>
              <w:t>42</w:t>
            </w:r>
          </w:p>
        </w:tc>
        <w:tc>
          <w:tcPr>
            <w:tcW w:w="777" w:type="dxa"/>
            <w:tcBorders>
              <w:top w:val="nil"/>
              <w:left w:val="nil"/>
              <w:bottom w:val="single" w:sz="4" w:space="0" w:color="auto"/>
              <w:right w:val="single" w:sz="4" w:space="0" w:color="auto"/>
            </w:tcBorders>
            <w:shd w:val="clear" w:color="auto" w:fill="auto"/>
            <w:noWrap/>
            <w:vAlign w:val="bottom"/>
            <w:hideMark/>
          </w:tcPr>
          <w:p w14:paraId="3726E2D4" w14:textId="77777777" w:rsidR="006D1687" w:rsidRPr="00C256C6" w:rsidRDefault="006D1687" w:rsidP="00064BC1">
            <w:pPr>
              <w:spacing w:after="0"/>
              <w:jc w:val="center"/>
              <w:rPr>
                <w:rFonts w:eastAsia="Times New Roman" w:cs="Arial"/>
                <w:color w:val="000000"/>
                <w:sz w:val="20"/>
                <w:szCs w:val="20"/>
                <w:lang w:eastAsia="en-GB"/>
              </w:rPr>
            </w:pPr>
            <w:r w:rsidRPr="00C256C6">
              <w:rPr>
                <w:rFonts w:eastAsia="Times New Roman" w:cs="Arial"/>
                <w:color w:val="000000"/>
                <w:sz w:val="20"/>
                <w:szCs w:val="20"/>
                <w:lang w:eastAsia="en-GB"/>
              </w:rPr>
              <w:t>45</w:t>
            </w:r>
          </w:p>
        </w:tc>
        <w:tc>
          <w:tcPr>
            <w:tcW w:w="777" w:type="dxa"/>
            <w:tcBorders>
              <w:top w:val="nil"/>
              <w:left w:val="nil"/>
              <w:bottom w:val="single" w:sz="4" w:space="0" w:color="auto"/>
              <w:right w:val="single" w:sz="4" w:space="0" w:color="auto"/>
            </w:tcBorders>
            <w:shd w:val="clear" w:color="auto" w:fill="auto"/>
            <w:noWrap/>
            <w:vAlign w:val="bottom"/>
            <w:hideMark/>
          </w:tcPr>
          <w:p w14:paraId="69D8A42C" w14:textId="77777777" w:rsidR="006D1687" w:rsidRPr="00C256C6" w:rsidRDefault="006D1687" w:rsidP="00064BC1">
            <w:pPr>
              <w:spacing w:after="0"/>
              <w:jc w:val="center"/>
              <w:rPr>
                <w:rFonts w:eastAsia="Times New Roman" w:cs="Arial"/>
                <w:color w:val="000000"/>
                <w:sz w:val="20"/>
                <w:szCs w:val="20"/>
                <w:lang w:eastAsia="en-GB"/>
              </w:rPr>
            </w:pPr>
            <w:r w:rsidRPr="00C256C6">
              <w:rPr>
                <w:rFonts w:eastAsia="Times New Roman" w:cs="Arial"/>
                <w:color w:val="000000"/>
                <w:sz w:val="20"/>
                <w:szCs w:val="20"/>
                <w:lang w:eastAsia="en-GB"/>
              </w:rPr>
              <w:t>53</w:t>
            </w:r>
          </w:p>
        </w:tc>
        <w:tc>
          <w:tcPr>
            <w:tcW w:w="777" w:type="dxa"/>
            <w:tcBorders>
              <w:top w:val="nil"/>
              <w:left w:val="nil"/>
              <w:bottom w:val="single" w:sz="4" w:space="0" w:color="auto"/>
              <w:right w:val="single" w:sz="4" w:space="0" w:color="auto"/>
            </w:tcBorders>
            <w:shd w:val="clear" w:color="auto" w:fill="auto"/>
            <w:noWrap/>
            <w:vAlign w:val="bottom"/>
            <w:hideMark/>
          </w:tcPr>
          <w:p w14:paraId="371F1EED" w14:textId="77777777" w:rsidR="006D1687" w:rsidRPr="00C256C6" w:rsidRDefault="006D1687" w:rsidP="00064BC1">
            <w:pPr>
              <w:spacing w:after="0"/>
              <w:jc w:val="center"/>
              <w:rPr>
                <w:rFonts w:eastAsia="Times New Roman" w:cs="Arial"/>
                <w:color w:val="000000"/>
                <w:sz w:val="20"/>
                <w:szCs w:val="20"/>
                <w:lang w:eastAsia="en-GB"/>
              </w:rPr>
            </w:pPr>
            <w:r w:rsidRPr="00C256C6">
              <w:rPr>
                <w:rFonts w:eastAsia="Times New Roman" w:cs="Arial"/>
                <w:color w:val="000000"/>
                <w:sz w:val="20"/>
                <w:szCs w:val="20"/>
                <w:lang w:eastAsia="en-GB"/>
              </w:rPr>
              <w:t>39</w:t>
            </w:r>
          </w:p>
        </w:tc>
        <w:tc>
          <w:tcPr>
            <w:tcW w:w="777" w:type="dxa"/>
            <w:tcBorders>
              <w:top w:val="nil"/>
              <w:left w:val="nil"/>
              <w:bottom w:val="single" w:sz="4" w:space="0" w:color="auto"/>
              <w:right w:val="single" w:sz="4" w:space="0" w:color="auto"/>
            </w:tcBorders>
            <w:shd w:val="clear" w:color="auto" w:fill="auto"/>
            <w:noWrap/>
            <w:vAlign w:val="bottom"/>
            <w:hideMark/>
          </w:tcPr>
          <w:p w14:paraId="3FF23600" w14:textId="77777777" w:rsidR="006D1687" w:rsidRPr="00C256C6" w:rsidRDefault="006D1687" w:rsidP="00064BC1">
            <w:pPr>
              <w:spacing w:after="0"/>
              <w:jc w:val="center"/>
              <w:rPr>
                <w:rFonts w:eastAsia="Times New Roman" w:cs="Arial"/>
                <w:color w:val="000000"/>
                <w:sz w:val="20"/>
                <w:szCs w:val="20"/>
                <w:lang w:eastAsia="en-GB"/>
              </w:rPr>
            </w:pPr>
            <w:r w:rsidRPr="00C256C6">
              <w:rPr>
                <w:rFonts w:eastAsia="Times New Roman" w:cs="Arial"/>
                <w:color w:val="000000"/>
                <w:sz w:val="20"/>
                <w:szCs w:val="20"/>
                <w:lang w:eastAsia="en-GB"/>
              </w:rPr>
              <w:t>37</w:t>
            </w:r>
          </w:p>
        </w:tc>
        <w:tc>
          <w:tcPr>
            <w:tcW w:w="777" w:type="dxa"/>
            <w:tcBorders>
              <w:top w:val="nil"/>
              <w:left w:val="nil"/>
              <w:bottom w:val="single" w:sz="4" w:space="0" w:color="auto"/>
              <w:right w:val="single" w:sz="4" w:space="0" w:color="auto"/>
            </w:tcBorders>
            <w:shd w:val="clear" w:color="auto" w:fill="auto"/>
            <w:noWrap/>
            <w:vAlign w:val="bottom"/>
            <w:hideMark/>
          </w:tcPr>
          <w:p w14:paraId="4A0E77EA" w14:textId="77777777" w:rsidR="006D1687" w:rsidRPr="00C256C6" w:rsidRDefault="006D1687" w:rsidP="00064BC1">
            <w:pPr>
              <w:spacing w:after="0"/>
              <w:jc w:val="center"/>
              <w:rPr>
                <w:rFonts w:eastAsia="Times New Roman" w:cs="Arial"/>
                <w:color w:val="000000"/>
                <w:sz w:val="20"/>
                <w:szCs w:val="20"/>
                <w:lang w:eastAsia="en-GB"/>
              </w:rPr>
            </w:pPr>
            <w:r w:rsidRPr="00C256C6">
              <w:rPr>
                <w:rFonts w:eastAsia="Times New Roman" w:cs="Arial"/>
                <w:color w:val="000000"/>
                <w:sz w:val="20"/>
                <w:szCs w:val="20"/>
                <w:lang w:eastAsia="en-GB"/>
              </w:rPr>
              <w:t>43</w:t>
            </w:r>
          </w:p>
        </w:tc>
        <w:tc>
          <w:tcPr>
            <w:tcW w:w="777" w:type="dxa"/>
            <w:tcBorders>
              <w:top w:val="nil"/>
              <w:left w:val="nil"/>
              <w:bottom w:val="single" w:sz="4" w:space="0" w:color="auto"/>
              <w:right w:val="single" w:sz="4" w:space="0" w:color="auto"/>
            </w:tcBorders>
            <w:shd w:val="clear" w:color="auto" w:fill="auto"/>
            <w:noWrap/>
            <w:vAlign w:val="bottom"/>
            <w:hideMark/>
          </w:tcPr>
          <w:p w14:paraId="281B24A6" w14:textId="77777777" w:rsidR="006D1687" w:rsidRPr="00C256C6" w:rsidRDefault="006D1687" w:rsidP="00064BC1">
            <w:pPr>
              <w:spacing w:after="0"/>
              <w:jc w:val="center"/>
              <w:rPr>
                <w:rFonts w:eastAsia="Times New Roman" w:cs="Arial"/>
                <w:color w:val="000000"/>
                <w:sz w:val="20"/>
                <w:szCs w:val="20"/>
                <w:lang w:eastAsia="en-GB"/>
              </w:rPr>
            </w:pPr>
            <w:r w:rsidRPr="00C256C6">
              <w:rPr>
                <w:rFonts w:eastAsia="Times New Roman" w:cs="Arial"/>
                <w:color w:val="000000"/>
                <w:sz w:val="20"/>
                <w:szCs w:val="20"/>
                <w:lang w:eastAsia="en-GB"/>
              </w:rPr>
              <w:t>26</w:t>
            </w:r>
          </w:p>
        </w:tc>
        <w:tc>
          <w:tcPr>
            <w:tcW w:w="777" w:type="dxa"/>
            <w:tcBorders>
              <w:top w:val="nil"/>
              <w:left w:val="nil"/>
              <w:bottom w:val="single" w:sz="4" w:space="0" w:color="auto"/>
              <w:right w:val="single" w:sz="4" w:space="0" w:color="auto"/>
            </w:tcBorders>
            <w:shd w:val="clear" w:color="auto" w:fill="auto"/>
            <w:noWrap/>
            <w:vAlign w:val="bottom"/>
            <w:hideMark/>
          </w:tcPr>
          <w:p w14:paraId="3459C993" w14:textId="77777777" w:rsidR="006D1687" w:rsidRPr="00C256C6" w:rsidRDefault="006D1687" w:rsidP="00064BC1">
            <w:pPr>
              <w:spacing w:after="0"/>
              <w:jc w:val="center"/>
              <w:rPr>
                <w:rFonts w:eastAsia="Times New Roman" w:cs="Arial"/>
                <w:color w:val="000000"/>
                <w:sz w:val="20"/>
                <w:szCs w:val="20"/>
                <w:lang w:eastAsia="en-GB"/>
              </w:rPr>
            </w:pPr>
            <w:r w:rsidRPr="00C256C6">
              <w:rPr>
                <w:rFonts w:eastAsia="Times New Roman" w:cs="Arial"/>
                <w:color w:val="000000"/>
                <w:sz w:val="20"/>
                <w:szCs w:val="20"/>
                <w:lang w:eastAsia="en-GB"/>
              </w:rPr>
              <w:t>21</w:t>
            </w:r>
          </w:p>
        </w:tc>
        <w:tc>
          <w:tcPr>
            <w:tcW w:w="777" w:type="dxa"/>
            <w:tcBorders>
              <w:top w:val="nil"/>
              <w:left w:val="nil"/>
              <w:bottom w:val="single" w:sz="4" w:space="0" w:color="auto"/>
              <w:right w:val="single" w:sz="4" w:space="0" w:color="auto"/>
            </w:tcBorders>
            <w:shd w:val="clear" w:color="auto" w:fill="auto"/>
            <w:noWrap/>
            <w:vAlign w:val="bottom"/>
            <w:hideMark/>
          </w:tcPr>
          <w:p w14:paraId="7396DB00" w14:textId="77777777" w:rsidR="006D1687" w:rsidRPr="00C256C6" w:rsidRDefault="006D1687" w:rsidP="00064BC1">
            <w:pPr>
              <w:spacing w:after="0"/>
              <w:jc w:val="right"/>
              <w:rPr>
                <w:rFonts w:eastAsia="Times New Roman" w:cs="Arial"/>
                <w:color w:val="000000"/>
                <w:sz w:val="20"/>
                <w:szCs w:val="20"/>
                <w:lang w:eastAsia="en-GB"/>
              </w:rPr>
            </w:pPr>
            <w:r w:rsidRPr="00C256C6">
              <w:rPr>
                <w:rFonts w:eastAsia="Times New Roman" w:cs="Arial"/>
                <w:color w:val="000000"/>
                <w:sz w:val="20"/>
                <w:szCs w:val="20"/>
                <w:lang w:eastAsia="en-GB"/>
              </w:rPr>
              <w:t>38</w:t>
            </w:r>
          </w:p>
        </w:tc>
        <w:tc>
          <w:tcPr>
            <w:tcW w:w="777" w:type="dxa"/>
            <w:tcBorders>
              <w:top w:val="nil"/>
              <w:left w:val="nil"/>
              <w:bottom w:val="single" w:sz="4" w:space="0" w:color="auto"/>
              <w:right w:val="single" w:sz="4" w:space="0" w:color="auto"/>
            </w:tcBorders>
            <w:vAlign w:val="bottom"/>
          </w:tcPr>
          <w:p w14:paraId="432AB11D" w14:textId="3879F41A" w:rsidR="006D1687" w:rsidRPr="00C256C6" w:rsidRDefault="006D1687" w:rsidP="006D1687">
            <w:pPr>
              <w:spacing w:after="0"/>
              <w:jc w:val="center"/>
              <w:rPr>
                <w:rFonts w:eastAsia="Times New Roman" w:cs="Arial"/>
                <w:color w:val="000000"/>
                <w:sz w:val="20"/>
                <w:szCs w:val="20"/>
                <w:lang w:eastAsia="en-GB"/>
              </w:rPr>
            </w:pPr>
            <w:r>
              <w:rPr>
                <w:rFonts w:eastAsia="Times New Roman" w:cs="Arial"/>
                <w:color w:val="000000"/>
                <w:sz w:val="20"/>
                <w:szCs w:val="20"/>
                <w:lang w:eastAsia="en-GB"/>
              </w:rPr>
              <w:t>34</w:t>
            </w:r>
          </w:p>
        </w:tc>
      </w:tr>
      <w:tr w:rsidR="006D1687" w:rsidRPr="00C256C6" w14:paraId="069AB4AA" w14:textId="57D9849E" w:rsidTr="00C262DB">
        <w:trPr>
          <w:trHeight w:val="900"/>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604B0DF4" w14:textId="77777777" w:rsidR="006D1687" w:rsidRPr="00C256C6" w:rsidRDefault="006D1687" w:rsidP="00064BC1">
            <w:pPr>
              <w:spacing w:after="0"/>
              <w:jc w:val="right"/>
              <w:rPr>
                <w:rFonts w:eastAsia="Times New Roman" w:cs="Arial"/>
                <w:b/>
                <w:bCs/>
                <w:color w:val="000000"/>
                <w:sz w:val="20"/>
                <w:szCs w:val="20"/>
                <w:lang w:eastAsia="en-GB"/>
              </w:rPr>
            </w:pPr>
            <w:r w:rsidRPr="00C256C6">
              <w:rPr>
                <w:rFonts w:eastAsia="Times New Roman" w:cs="Arial"/>
                <w:b/>
                <w:bCs/>
                <w:color w:val="000000"/>
                <w:sz w:val="20"/>
                <w:szCs w:val="20"/>
                <w:lang w:eastAsia="en-GB"/>
              </w:rPr>
              <w:t>Complaints rec'd per 1000 bed days:</w:t>
            </w:r>
          </w:p>
        </w:tc>
        <w:tc>
          <w:tcPr>
            <w:tcW w:w="777" w:type="dxa"/>
            <w:tcBorders>
              <w:top w:val="nil"/>
              <w:left w:val="nil"/>
              <w:bottom w:val="single" w:sz="4" w:space="0" w:color="auto"/>
              <w:right w:val="single" w:sz="4" w:space="0" w:color="auto"/>
            </w:tcBorders>
            <w:shd w:val="clear" w:color="auto" w:fill="auto"/>
            <w:noWrap/>
            <w:vAlign w:val="bottom"/>
            <w:hideMark/>
          </w:tcPr>
          <w:p w14:paraId="3A632C79" w14:textId="77777777" w:rsidR="006D1687" w:rsidRPr="00C256C6" w:rsidRDefault="006D1687" w:rsidP="00064BC1">
            <w:pPr>
              <w:spacing w:after="0"/>
              <w:jc w:val="center"/>
              <w:rPr>
                <w:rFonts w:eastAsia="Times New Roman" w:cs="Arial"/>
                <w:color w:val="000000"/>
                <w:sz w:val="20"/>
                <w:szCs w:val="20"/>
                <w:lang w:eastAsia="en-GB"/>
              </w:rPr>
            </w:pPr>
            <w:r w:rsidRPr="00C256C6">
              <w:rPr>
                <w:rFonts w:eastAsia="Times New Roman" w:cs="Arial"/>
                <w:color w:val="000000"/>
                <w:sz w:val="20"/>
                <w:szCs w:val="20"/>
                <w:lang w:eastAsia="en-GB"/>
              </w:rPr>
              <w:t>1.2</w:t>
            </w:r>
          </w:p>
        </w:tc>
        <w:tc>
          <w:tcPr>
            <w:tcW w:w="777" w:type="dxa"/>
            <w:tcBorders>
              <w:top w:val="nil"/>
              <w:left w:val="nil"/>
              <w:bottom w:val="single" w:sz="4" w:space="0" w:color="auto"/>
              <w:right w:val="single" w:sz="4" w:space="0" w:color="auto"/>
            </w:tcBorders>
            <w:shd w:val="clear" w:color="auto" w:fill="auto"/>
            <w:noWrap/>
            <w:vAlign w:val="bottom"/>
            <w:hideMark/>
          </w:tcPr>
          <w:p w14:paraId="09ADE7D7" w14:textId="77777777" w:rsidR="006D1687" w:rsidRPr="00C256C6" w:rsidRDefault="006D1687" w:rsidP="00064BC1">
            <w:pPr>
              <w:spacing w:after="0"/>
              <w:jc w:val="center"/>
              <w:rPr>
                <w:rFonts w:eastAsia="Times New Roman" w:cs="Arial"/>
                <w:color w:val="000000"/>
                <w:sz w:val="20"/>
                <w:szCs w:val="20"/>
                <w:lang w:eastAsia="en-GB"/>
              </w:rPr>
            </w:pPr>
            <w:r w:rsidRPr="00C256C6">
              <w:rPr>
                <w:rFonts w:eastAsia="Times New Roman" w:cs="Arial"/>
                <w:color w:val="000000"/>
                <w:sz w:val="20"/>
                <w:szCs w:val="20"/>
                <w:lang w:eastAsia="en-GB"/>
              </w:rPr>
              <w:t>2.1</w:t>
            </w:r>
          </w:p>
        </w:tc>
        <w:tc>
          <w:tcPr>
            <w:tcW w:w="777" w:type="dxa"/>
            <w:tcBorders>
              <w:top w:val="nil"/>
              <w:left w:val="nil"/>
              <w:bottom w:val="single" w:sz="4" w:space="0" w:color="auto"/>
              <w:right w:val="single" w:sz="4" w:space="0" w:color="auto"/>
            </w:tcBorders>
            <w:shd w:val="clear" w:color="auto" w:fill="auto"/>
            <w:noWrap/>
            <w:vAlign w:val="bottom"/>
            <w:hideMark/>
          </w:tcPr>
          <w:p w14:paraId="6FA3DA53" w14:textId="77777777" w:rsidR="006D1687" w:rsidRPr="00C256C6" w:rsidRDefault="006D1687" w:rsidP="00064BC1">
            <w:pPr>
              <w:spacing w:after="0"/>
              <w:jc w:val="center"/>
              <w:rPr>
                <w:rFonts w:eastAsia="Times New Roman" w:cs="Arial"/>
                <w:color w:val="000000"/>
                <w:sz w:val="20"/>
                <w:szCs w:val="20"/>
                <w:lang w:eastAsia="en-GB"/>
              </w:rPr>
            </w:pPr>
            <w:r w:rsidRPr="00C256C6">
              <w:rPr>
                <w:rFonts w:eastAsia="Times New Roman" w:cs="Arial"/>
                <w:color w:val="000000"/>
                <w:sz w:val="20"/>
                <w:szCs w:val="20"/>
                <w:lang w:eastAsia="en-GB"/>
              </w:rPr>
              <w:t>1.8</w:t>
            </w:r>
          </w:p>
        </w:tc>
        <w:tc>
          <w:tcPr>
            <w:tcW w:w="777" w:type="dxa"/>
            <w:tcBorders>
              <w:top w:val="nil"/>
              <w:left w:val="nil"/>
              <w:bottom w:val="single" w:sz="4" w:space="0" w:color="auto"/>
              <w:right w:val="single" w:sz="4" w:space="0" w:color="auto"/>
            </w:tcBorders>
            <w:shd w:val="clear" w:color="auto" w:fill="auto"/>
            <w:noWrap/>
            <w:vAlign w:val="bottom"/>
            <w:hideMark/>
          </w:tcPr>
          <w:p w14:paraId="7BFB9D55" w14:textId="77777777" w:rsidR="006D1687" w:rsidRPr="00C256C6" w:rsidRDefault="006D1687" w:rsidP="00064BC1">
            <w:pPr>
              <w:spacing w:after="0"/>
              <w:jc w:val="center"/>
              <w:rPr>
                <w:rFonts w:eastAsia="Times New Roman" w:cs="Arial"/>
                <w:color w:val="000000"/>
                <w:sz w:val="20"/>
                <w:szCs w:val="20"/>
                <w:lang w:eastAsia="en-GB"/>
              </w:rPr>
            </w:pPr>
            <w:r w:rsidRPr="00C256C6">
              <w:rPr>
                <w:rFonts w:eastAsia="Times New Roman" w:cs="Arial"/>
                <w:color w:val="000000"/>
                <w:sz w:val="20"/>
                <w:szCs w:val="20"/>
                <w:lang w:eastAsia="en-GB"/>
              </w:rPr>
              <w:t>1.9</w:t>
            </w:r>
          </w:p>
        </w:tc>
        <w:tc>
          <w:tcPr>
            <w:tcW w:w="777" w:type="dxa"/>
            <w:tcBorders>
              <w:top w:val="nil"/>
              <w:left w:val="nil"/>
              <w:bottom w:val="single" w:sz="4" w:space="0" w:color="auto"/>
              <w:right w:val="single" w:sz="4" w:space="0" w:color="auto"/>
            </w:tcBorders>
            <w:shd w:val="clear" w:color="auto" w:fill="auto"/>
            <w:noWrap/>
            <w:vAlign w:val="bottom"/>
            <w:hideMark/>
          </w:tcPr>
          <w:p w14:paraId="7ECFB764" w14:textId="77777777" w:rsidR="006D1687" w:rsidRPr="00C256C6" w:rsidRDefault="006D1687" w:rsidP="00064BC1">
            <w:pPr>
              <w:spacing w:after="0"/>
              <w:jc w:val="center"/>
              <w:rPr>
                <w:rFonts w:eastAsia="Times New Roman" w:cs="Arial"/>
                <w:color w:val="000000"/>
                <w:sz w:val="20"/>
                <w:szCs w:val="20"/>
                <w:lang w:eastAsia="en-GB"/>
              </w:rPr>
            </w:pPr>
            <w:r w:rsidRPr="00C256C6">
              <w:rPr>
                <w:rFonts w:eastAsia="Times New Roman" w:cs="Arial"/>
                <w:color w:val="000000"/>
                <w:sz w:val="20"/>
                <w:szCs w:val="20"/>
                <w:lang w:eastAsia="en-GB"/>
              </w:rPr>
              <w:t>2.3</w:t>
            </w:r>
          </w:p>
        </w:tc>
        <w:tc>
          <w:tcPr>
            <w:tcW w:w="777" w:type="dxa"/>
            <w:tcBorders>
              <w:top w:val="nil"/>
              <w:left w:val="nil"/>
              <w:bottom w:val="single" w:sz="4" w:space="0" w:color="auto"/>
              <w:right w:val="single" w:sz="4" w:space="0" w:color="auto"/>
            </w:tcBorders>
            <w:shd w:val="clear" w:color="auto" w:fill="auto"/>
            <w:noWrap/>
            <w:vAlign w:val="bottom"/>
            <w:hideMark/>
          </w:tcPr>
          <w:p w14:paraId="01BB7EBA" w14:textId="77777777" w:rsidR="006D1687" w:rsidRPr="00C256C6" w:rsidRDefault="006D1687" w:rsidP="00064BC1">
            <w:pPr>
              <w:spacing w:after="0"/>
              <w:jc w:val="center"/>
              <w:rPr>
                <w:rFonts w:eastAsia="Times New Roman" w:cs="Arial"/>
                <w:color w:val="000000"/>
                <w:sz w:val="20"/>
                <w:szCs w:val="20"/>
                <w:lang w:eastAsia="en-GB"/>
              </w:rPr>
            </w:pPr>
            <w:r w:rsidRPr="00C256C6">
              <w:rPr>
                <w:rFonts w:eastAsia="Times New Roman" w:cs="Arial"/>
                <w:color w:val="000000"/>
                <w:sz w:val="20"/>
                <w:szCs w:val="20"/>
                <w:lang w:eastAsia="en-GB"/>
              </w:rPr>
              <w:t>1.7</w:t>
            </w:r>
          </w:p>
        </w:tc>
        <w:tc>
          <w:tcPr>
            <w:tcW w:w="777" w:type="dxa"/>
            <w:tcBorders>
              <w:top w:val="nil"/>
              <w:left w:val="nil"/>
              <w:bottom w:val="single" w:sz="4" w:space="0" w:color="auto"/>
              <w:right w:val="single" w:sz="4" w:space="0" w:color="auto"/>
            </w:tcBorders>
            <w:shd w:val="clear" w:color="auto" w:fill="auto"/>
            <w:noWrap/>
            <w:vAlign w:val="bottom"/>
            <w:hideMark/>
          </w:tcPr>
          <w:p w14:paraId="10F961BE" w14:textId="77777777" w:rsidR="006D1687" w:rsidRPr="00C256C6" w:rsidRDefault="006D1687" w:rsidP="00064BC1">
            <w:pPr>
              <w:spacing w:after="0"/>
              <w:jc w:val="center"/>
              <w:rPr>
                <w:rFonts w:eastAsia="Times New Roman" w:cs="Arial"/>
                <w:color w:val="000000"/>
                <w:sz w:val="20"/>
                <w:szCs w:val="20"/>
                <w:lang w:eastAsia="en-GB"/>
              </w:rPr>
            </w:pPr>
            <w:r w:rsidRPr="00C256C6">
              <w:rPr>
                <w:rFonts w:eastAsia="Times New Roman" w:cs="Arial"/>
                <w:color w:val="000000"/>
                <w:sz w:val="20"/>
                <w:szCs w:val="20"/>
                <w:lang w:eastAsia="en-GB"/>
              </w:rPr>
              <w:t>1.6</w:t>
            </w:r>
          </w:p>
        </w:tc>
        <w:tc>
          <w:tcPr>
            <w:tcW w:w="777" w:type="dxa"/>
            <w:tcBorders>
              <w:top w:val="nil"/>
              <w:left w:val="nil"/>
              <w:bottom w:val="single" w:sz="4" w:space="0" w:color="auto"/>
              <w:right w:val="single" w:sz="4" w:space="0" w:color="auto"/>
            </w:tcBorders>
            <w:shd w:val="clear" w:color="auto" w:fill="auto"/>
            <w:noWrap/>
            <w:vAlign w:val="bottom"/>
            <w:hideMark/>
          </w:tcPr>
          <w:p w14:paraId="4A276408" w14:textId="77777777" w:rsidR="006D1687" w:rsidRPr="00C256C6" w:rsidRDefault="006D1687" w:rsidP="00064BC1">
            <w:pPr>
              <w:spacing w:after="0"/>
              <w:jc w:val="center"/>
              <w:rPr>
                <w:rFonts w:eastAsia="Times New Roman" w:cs="Arial"/>
                <w:color w:val="000000"/>
                <w:sz w:val="20"/>
                <w:szCs w:val="20"/>
                <w:lang w:eastAsia="en-GB"/>
              </w:rPr>
            </w:pPr>
            <w:r w:rsidRPr="00C256C6">
              <w:rPr>
                <w:rFonts w:eastAsia="Times New Roman" w:cs="Arial"/>
                <w:color w:val="000000"/>
                <w:sz w:val="20"/>
                <w:szCs w:val="20"/>
                <w:lang w:eastAsia="en-GB"/>
              </w:rPr>
              <w:t>1.8</w:t>
            </w:r>
          </w:p>
        </w:tc>
        <w:tc>
          <w:tcPr>
            <w:tcW w:w="777" w:type="dxa"/>
            <w:tcBorders>
              <w:top w:val="nil"/>
              <w:left w:val="nil"/>
              <w:bottom w:val="single" w:sz="4" w:space="0" w:color="auto"/>
              <w:right w:val="single" w:sz="4" w:space="0" w:color="auto"/>
            </w:tcBorders>
            <w:shd w:val="clear" w:color="auto" w:fill="auto"/>
            <w:noWrap/>
            <w:vAlign w:val="bottom"/>
            <w:hideMark/>
          </w:tcPr>
          <w:p w14:paraId="6435659D" w14:textId="77777777" w:rsidR="006D1687" w:rsidRPr="00C256C6" w:rsidRDefault="006D1687" w:rsidP="00064BC1">
            <w:pPr>
              <w:spacing w:after="0"/>
              <w:jc w:val="center"/>
              <w:rPr>
                <w:rFonts w:eastAsia="Times New Roman" w:cs="Arial"/>
                <w:color w:val="000000"/>
                <w:sz w:val="20"/>
                <w:szCs w:val="20"/>
                <w:lang w:eastAsia="en-GB"/>
              </w:rPr>
            </w:pPr>
            <w:r w:rsidRPr="00C256C6">
              <w:rPr>
                <w:rFonts w:eastAsia="Times New Roman" w:cs="Arial"/>
                <w:color w:val="000000"/>
                <w:sz w:val="20"/>
                <w:szCs w:val="20"/>
                <w:lang w:eastAsia="en-GB"/>
              </w:rPr>
              <w:t>1.0</w:t>
            </w:r>
          </w:p>
        </w:tc>
        <w:tc>
          <w:tcPr>
            <w:tcW w:w="777" w:type="dxa"/>
            <w:tcBorders>
              <w:top w:val="nil"/>
              <w:left w:val="nil"/>
              <w:bottom w:val="single" w:sz="4" w:space="0" w:color="auto"/>
              <w:right w:val="single" w:sz="4" w:space="0" w:color="auto"/>
            </w:tcBorders>
            <w:shd w:val="clear" w:color="auto" w:fill="auto"/>
            <w:noWrap/>
            <w:vAlign w:val="bottom"/>
            <w:hideMark/>
          </w:tcPr>
          <w:p w14:paraId="6F8828A6" w14:textId="77777777" w:rsidR="006D1687" w:rsidRPr="00C256C6" w:rsidRDefault="006D1687" w:rsidP="00064BC1">
            <w:pPr>
              <w:spacing w:after="0"/>
              <w:jc w:val="center"/>
              <w:rPr>
                <w:rFonts w:eastAsia="Times New Roman" w:cs="Arial"/>
                <w:color w:val="000000"/>
                <w:sz w:val="20"/>
                <w:szCs w:val="20"/>
                <w:lang w:eastAsia="en-GB"/>
              </w:rPr>
            </w:pPr>
            <w:r w:rsidRPr="00C256C6">
              <w:rPr>
                <w:rFonts w:eastAsia="Times New Roman" w:cs="Arial"/>
                <w:color w:val="000000"/>
                <w:sz w:val="20"/>
                <w:szCs w:val="20"/>
                <w:lang w:eastAsia="en-GB"/>
              </w:rPr>
              <w:t>0.8</w:t>
            </w:r>
          </w:p>
        </w:tc>
        <w:tc>
          <w:tcPr>
            <w:tcW w:w="777" w:type="dxa"/>
            <w:tcBorders>
              <w:top w:val="nil"/>
              <w:left w:val="nil"/>
              <w:bottom w:val="single" w:sz="4" w:space="0" w:color="auto"/>
              <w:right w:val="single" w:sz="4" w:space="0" w:color="auto"/>
            </w:tcBorders>
            <w:shd w:val="clear" w:color="auto" w:fill="auto"/>
            <w:noWrap/>
            <w:vAlign w:val="bottom"/>
            <w:hideMark/>
          </w:tcPr>
          <w:p w14:paraId="558C68BB" w14:textId="77777777" w:rsidR="006D1687" w:rsidRPr="00C256C6" w:rsidRDefault="006D1687" w:rsidP="00064BC1">
            <w:pPr>
              <w:spacing w:after="0"/>
              <w:jc w:val="center"/>
              <w:rPr>
                <w:rFonts w:eastAsia="Times New Roman" w:cs="Arial"/>
                <w:color w:val="000000"/>
                <w:sz w:val="20"/>
                <w:szCs w:val="20"/>
                <w:lang w:eastAsia="en-GB"/>
              </w:rPr>
            </w:pPr>
            <w:r w:rsidRPr="00C256C6">
              <w:rPr>
                <w:rFonts w:eastAsia="Times New Roman" w:cs="Arial"/>
                <w:color w:val="000000"/>
                <w:sz w:val="20"/>
                <w:szCs w:val="20"/>
                <w:lang w:eastAsia="en-GB"/>
              </w:rPr>
              <w:t>1.5</w:t>
            </w:r>
          </w:p>
        </w:tc>
        <w:tc>
          <w:tcPr>
            <w:tcW w:w="777" w:type="dxa"/>
            <w:tcBorders>
              <w:top w:val="nil"/>
              <w:left w:val="nil"/>
              <w:bottom w:val="single" w:sz="4" w:space="0" w:color="auto"/>
              <w:right w:val="single" w:sz="4" w:space="0" w:color="auto"/>
            </w:tcBorders>
            <w:vAlign w:val="bottom"/>
          </w:tcPr>
          <w:p w14:paraId="4EC18E7E" w14:textId="67D83096" w:rsidR="006D1687" w:rsidRPr="00C256C6" w:rsidRDefault="006D1687" w:rsidP="006D1687">
            <w:pPr>
              <w:spacing w:after="0"/>
              <w:jc w:val="center"/>
              <w:rPr>
                <w:rFonts w:eastAsia="Times New Roman" w:cs="Arial"/>
                <w:color w:val="000000"/>
                <w:sz w:val="20"/>
                <w:szCs w:val="20"/>
                <w:lang w:eastAsia="en-GB"/>
              </w:rPr>
            </w:pPr>
            <w:r>
              <w:rPr>
                <w:rFonts w:eastAsia="Times New Roman" w:cs="Arial"/>
                <w:color w:val="000000"/>
                <w:sz w:val="20"/>
                <w:szCs w:val="20"/>
                <w:lang w:eastAsia="en-GB"/>
              </w:rPr>
              <w:t>1.3</w:t>
            </w:r>
          </w:p>
        </w:tc>
      </w:tr>
    </w:tbl>
    <w:p w14:paraId="7811925B" w14:textId="77777777" w:rsidR="004540A7" w:rsidRPr="002D1C7E" w:rsidRDefault="004540A7" w:rsidP="004540A7">
      <w:pPr>
        <w:spacing w:after="0"/>
        <w:rPr>
          <w:rFonts w:cs="Arial"/>
          <w:i/>
          <w:sz w:val="20"/>
        </w:rPr>
      </w:pPr>
    </w:p>
    <w:p w14:paraId="55289A87" w14:textId="4C74BBFA" w:rsidR="004540A7" w:rsidRDefault="000E47F8" w:rsidP="004540A7">
      <w:pPr>
        <w:spacing w:after="0"/>
        <w:rPr>
          <w:rFonts w:cs="Arial"/>
          <w:sz w:val="22"/>
        </w:rPr>
      </w:pPr>
      <w:r w:rsidRPr="000E47F8">
        <w:rPr>
          <w:rFonts w:cs="Arial"/>
          <w:sz w:val="22"/>
        </w:rPr>
        <w:t xml:space="preserve">Chart showing total team </w:t>
      </w:r>
      <w:r w:rsidR="004540A7" w:rsidRPr="000E47F8">
        <w:rPr>
          <w:rFonts w:cs="Arial"/>
          <w:sz w:val="22"/>
        </w:rPr>
        <w:t>activity</w:t>
      </w:r>
      <w:r w:rsidRPr="000E47F8">
        <w:rPr>
          <w:rFonts w:cs="Arial"/>
          <w:sz w:val="22"/>
        </w:rPr>
        <w:t xml:space="preserve"> for the past two years:</w:t>
      </w:r>
      <w:r w:rsidR="004540A7" w:rsidRPr="000E47F8">
        <w:rPr>
          <w:rFonts w:cs="Arial"/>
          <w:sz w:val="22"/>
        </w:rPr>
        <w:t xml:space="preserve">  </w:t>
      </w:r>
    </w:p>
    <w:p w14:paraId="355C4727" w14:textId="77777777" w:rsidR="000E47F8" w:rsidRPr="000E47F8" w:rsidRDefault="000E47F8" w:rsidP="004540A7">
      <w:pPr>
        <w:spacing w:after="0"/>
        <w:rPr>
          <w:rFonts w:cs="Arial"/>
          <w:sz w:val="22"/>
        </w:rPr>
      </w:pPr>
    </w:p>
    <w:tbl>
      <w:tblPr>
        <w:tblStyle w:val="TableGrid"/>
        <w:tblW w:w="5082" w:type="pct"/>
        <w:tblLayout w:type="fixed"/>
        <w:tblLook w:val="04A0" w:firstRow="1" w:lastRow="0" w:firstColumn="1" w:lastColumn="0" w:noHBand="0" w:noVBand="1"/>
      </w:tblPr>
      <w:tblGrid>
        <w:gridCol w:w="1130"/>
        <w:gridCol w:w="1171"/>
        <w:gridCol w:w="962"/>
        <w:gridCol w:w="1046"/>
        <w:gridCol w:w="1043"/>
        <w:gridCol w:w="1174"/>
        <w:gridCol w:w="914"/>
        <w:gridCol w:w="1172"/>
        <w:gridCol w:w="1174"/>
      </w:tblGrid>
      <w:tr w:rsidR="004540A7" w:rsidRPr="002D1C7E" w14:paraId="18145B13" w14:textId="77777777" w:rsidTr="00064BC1">
        <w:trPr>
          <w:trHeight w:val="1020"/>
        </w:trPr>
        <w:tc>
          <w:tcPr>
            <w:tcW w:w="577" w:type="pct"/>
          </w:tcPr>
          <w:p w14:paraId="11BD156C" w14:textId="77777777" w:rsidR="004540A7" w:rsidRPr="002D1C7E" w:rsidRDefault="004540A7" w:rsidP="00064BC1">
            <w:pPr>
              <w:pStyle w:val="ListParagraph"/>
              <w:ind w:left="0"/>
              <w:jc w:val="both"/>
              <w:rPr>
                <w:rFonts w:cs="Arial"/>
                <w:b/>
                <w:noProof/>
                <w:sz w:val="18"/>
                <w:szCs w:val="18"/>
                <w:lang w:eastAsia="en-GB"/>
              </w:rPr>
            </w:pPr>
            <w:r w:rsidRPr="002D1C7E">
              <w:rPr>
                <w:rFonts w:cs="Arial"/>
                <w:b/>
                <w:noProof/>
                <w:sz w:val="18"/>
                <w:szCs w:val="18"/>
                <w:lang w:eastAsia="en-GB"/>
              </w:rPr>
              <w:t>Division</w:t>
            </w:r>
          </w:p>
        </w:tc>
        <w:tc>
          <w:tcPr>
            <w:tcW w:w="598" w:type="pct"/>
          </w:tcPr>
          <w:p w14:paraId="1DEB84B0" w14:textId="77777777" w:rsidR="004540A7" w:rsidRPr="002D1C7E" w:rsidRDefault="004540A7" w:rsidP="00064BC1">
            <w:pPr>
              <w:pStyle w:val="ListParagraph"/>
              <w:ind w:left="0"/>
              <w:jc w:val="both"/>
              <w:rPr>
                <w:rFonts w:cs="Arial"/>
                <w:b/>
                <w:noProof/>
                <w:sz w:val="16"/>
                <w:szCs w:val="16"/>
                <w:lang w:eastAsia="en-GB"/>
              </w:rPr>
            </w:pPr>
            <w:r w:rsidRPr="002D1C7E">
              <w:rPr>
                <w:rFonts w:cs="Arial"/>
                <w:b/>
                <w:noProof/>
                <w:sz w:val="16"/>
                <w:szCs w:val="16"/>
                <w:lang w:eastAsia="en-GB"/>
              </w:rPr>
              <w:t>De-escalated concerns and complaints 23/24</w:t>
            </w:r>
          </w:p>
        </w:tc>
        <w:tc>
          <w:tcPr>
            <w:tcW w:w="491" w:type="pct"/>
          </w:tcPr>
          <w:p w14:paraId="6F4E0D1B" w14:textId="77777777" w:rsidR="004540A7" w:rsidRPr="002D1C7E" w:rsidRDefault="004540A7" w:rsidP="00064BC1">
            <w:pPr>
              <w:pStyle w:val="ListParagraph"/>
              <w:ind w:left="0"/>
              <w:jc w:val="both"/>
              <w:rPr>
                <w:rFonts w:cs="Arial"/>
                <w:b/>
                <w:noProof/>
                <w:sz w:val="16"/>
                <w:szCs w:val="16"/>
                <w:lang w:eastAsia="en-GB"/>
              </w:rPr>
            </w:pPr>
            <w:r w:rsidRPr="002D1C7E">
              <w:rPr>
                <w:rFonts w:cs="Arial"/>
                <w:b/>
                <w:noProof/>
                <w:sz w:val="16"/>
                <w:szCs w:val="16"/>
                <w:lang w:eastAsia="en-GB"/>
              </w:rPr>
              <w:t>Complaints 2023/24</w:t>
            </w:r>
          </w:p>
        </w:tc>
        <w:tc>
          <w:tcPr>
            <w:tcW w:w="534" w:type="pct"/>
            <w:tcBorders>
              <w:right w:val="single" w:sz="4" w:space="0" w:color="auto"/>
            </w:tcBorders>
          </w:tcPr>
          <w:p w14:paraId="2059B55A" w14:textId="77777777" w:rsidR="004540A7" w:rsidRPr="002D1C7E" w:rsidRDefault="004540A7" w:rsidP="00064BC1">
            <w:pPr>
              <w:pStyle w:val="ListParagraph"/>
              <w:ind w:left="0"/>
              <w:jc w:val="both"/>
              <w:rPr>
                <w:rFonts w:cs="Arial"/>
                <w:b/>
                <w:noProof/>
                <w:sz w:val="16"/>
                <w:szCs w:val="16"/>
                <w:lang w:eastAsia="en-GB"/>
              </w:rPr>
            </w:pPr>
            <w:r w:rsidRPr="002D1C7E">
              <w:rPr>
                <w:rFonts w:cs="Arial"/>
                <w:b/>
                <w:noProof/>
                <w:sz w:val="16"/>
                <w:szCs w:val="16"/>
                <w:lang w:eastAsia="en-GB"/>
              </w:rPr>
              <w:t>Concerns 2023/24</w:t>
            </w:r>
          </w:p>
        </w:tc>
        <w:tc>
          <w:tcPr>
            <w:tcW w:w="533" w:type="pct"/>
            <w:tcBorders>
              <w:top w:val="single" w:sz="4" w:space="0" w:color="auto"/>
              <w:left w:val="single" w:sz="4" w:space="0" w:color="auto"/>
              <w:bottom w:val="single" w:sz="4" w:space="0" w:color="auto"/>
              <w:right w:val="single" w:sz="12" w:space="0" w:color="auto"/>
            </w:tcBorders>
          </w:tcPr>
          <w:p w14:paraId="2C8F10F1" w14:textId="77777777" w:rsidR="004540A7" w:rsidRPr="002D1C7E" w:rsidRDefault="004540A7" w:rsidP="00064BC1">
            <w:pPr>
              <w:pStyle w:val="ListParagraph"/>
              <w:ind w:left="0"/>
              <w:jc w:val="both"/>
              <w:rPr>
                <w:rFonts w:cs="Arial"/>
                <w:b/>
                <w:noProof/>
                <w:sz w:val="16"/>
                <w:szCs w:val="16"/>
                <w:lang w:eastAsia="en-GB"/>
              </w:rPr>
            </w:pPr>
            <w:r w:rsidRPr="002D1C7E">
              <w:rPr>
                <w:rFonts w:cs="Arial"/>
                <w:b/>
                <w:noProof/>
                <w:sz w:val="16"/>
                <w:szCs w:val="16"/>
                <w:lang w:eastAsia="en-GB"/>
              </w:rPr>
              <w:t>Divisional Total 2023/24</w:t>
            </w:r>
          </w:p>
        </w:tc>
        <w:tc>
          <w:tcPr>
            <w:tcW w:w="600" w:type="pct"/>
            <w:tcBorders>
              <w:left w:val="single" w:sz="12" w:space="0" w:color="auto"/>
            </w:tcBorders>
          </w:tcPr>
          <w:p w14:paraId="0789BFD3" w14:textId="77777777" w:rsidR="004540A7" w:rsidRPr="002D1C7E" w:rsidRDefault="004540A7" w:rsidP="00064BC1">
            <w:pPr>
              <w:pStyle w:val="ListParagraph"/>
              <w:ind w:left="0"/>
              <w:jc w:val="both"/>
              <w:rPr>
                <w:rFonts w:cs="Arial"/>
                <w:b/>
                <w:noProof/>
                <w:sz w:val="16"/>
                <w:szCs w:val="16"/>
                <w:lang w:eastAsia="en-GB"/>
              </w:rPr>
            </w:pPr>
            <w:r w:rsidRPr="002D1C7E">
              <w:rPr>
                <w:rFonts w:cs="Arial"/>
                <w:b/>
                <w:noProof/>
                <w:sz w:val="16"/>
                <w:szCs w:val="16"/>
                <w:lang w:eastAsia="en-GB"/>
              </w:rPr>
              <w:t>De-escalated concerns and complaints 2022/23</w:t>
            </w:r>
          </w:p>
        </w:tc>
        <w:tc>
          <w:tcPr>
            <w:tcW w:w="467" w:type="pct"/>
          </w:tcPr>
          <w:p w14:paraId="4A90C610" w14:textId="77777777" w:rsidR="004540A7" w:rsidRPr="002D1C7E" w:rsidRDefault="004540A7" w:rsidP="00064BC1">
            <w:pPr>
              <w:pStyle w:val="ListParagraph"/>
              <w:ind w:left="0"/>
              <w:jc w:val="both"/>
              <w:rPr>
                <w:rFonts w:cs="Arial"/>
                <w:b/>
                <w:noProof/>
                <w:sz w:val="16"/>
                <w:szCs w:val="16"/>
                <w:lang w:eastAsia="en-GB"/>
              </w:rPr>
            </w:pPr>
            <w:r w:rsidRPr="002D1C7E">
              <w:rPr>
                <w:rFonts w:cs="Arial"/>
                <w:b/>
                <w:noProof/>
                <w:sz w:val="16"/>
                <w:szCs w:val="16"/>
                <w:lang w:eastAsia="en-GB"/>
              </w:rPr>
              <w:t>Complaints 2022/23</w:t>
            </w:r>
          </w:p>
        </w:tc>
        <w:tc>
          <w:tcPr>
            <w:tcW w:w="599" w:type="pct"/>
          </w:tcPr>
          <w:p w14:paraId="2F0B276F" w14:textId="77777777" w:rsidR="004540A7" w:rsidRPr="002D1C7E" w:rsidRDefault="004540A7" w:rsidP="00064BC1">
            <w:pPr>
              <w:pStyle w:val="ListParagraph"/>
              <w:ind w:left="0"/>
              <w:jc w:val="both"/>
              <w:rPr>
                <w:rFonts w:cs="Arial"/>
                <w:b/>
                <w:noProof/>
                <w:sz w:val="16"/>
                <w:szCs w:val="16"/>
                <w:lang w:eastAsia="en-GB"/>
              </w:rPr>
            </w:pPr>
            <w:r w:rsidRPr="002D1C7E">
              <w:rPr>
                <w:rFonts w:cs="Arial"/>
                <w:b/>
                <w:noProof/>
                <w:sz w:val="16"/>
                <w:szCs w:val="16"/>
                <w:lang w:eastAsia="en-GB"/>
              </w:rPr>
              <w:t>Concerns 2022/23</w:t>
            </w:r>
          </w:p>
        </w:tc>
        <w:tc>
          <w:tcPr>
            <w:tcW w:w="600" w:type="pct"/>
            <w:tcBorders>
              <w:right w:val="single" w:sz="4" w:space="0" w:color="auto"/>
            </w:tcBorders>
          </w:tcPr>
          <w:p w14:paraId="59F49C13" w14:textId="77777777" w:rsidR="004540A7" w:rsidRPr="002D1C7E" w:rsidRDefault="004540A7" w:rsidP="00064BC1">
            <w:pPr>
              <w:pStyle w:val="ListParagraph"/>
              <w:ind w:left="0"/>
              <w:jc w:val="both"/>
              <w:rPr>
                <w:rFonts w:cs="Arial"/>
                <w:b/>
                <w:noProof/>
                <w:sz w:val="16"/>
                <w:szCs w:val="16"/>
                <w:lang w:eastAsia="en-GB"/>
              </w:rPr>
            </w:pPr>
            <w:r w:rsidRPr="002D1C7E">
              <w:rPr>
                <w:rFonts w:cs="Arial"/>
                <w:b/>
                <w:noProof/>
                <w:sz w:val="16"/>
                <w:szCs w:val="16"/>
                <w:lang w:eastAsia="en-GB"/>
              </w:rPr>
              <w:t>Divisional Total 2022/23</w:t>
            </w:r>
          </w:p>
        </w:tc>
      </w:tr>
      <w:tr w:rsidR="004540A7" w:rsidRPr="002D1C7E" w14:paraId="24E87778" w14:textId="77777777" w:rsidTr="00064BC1">
        <w:trPr>
          <w:trHeight w:val="453"/>
        </w:trPr>
        <w:tc>
          <w:tcPr>
            <w:tcW w:w="577" w:type="pct"/>
          </w:tcPr>
          <w:p w14:paraId="5FF69708" w14:textId="77777777" w:rsidR="004540A7" w:rsidRPr="002D1C7E" w:rsidRDefault="004540A7" w:rsidP="00064BC1">
            <w:pPr>
              <w:pStyle w:val="ListParagraph"/>
              <w:ind w:left="0"/>
              <w:jc w:val="both"/>
              <w:rPr>
                <w:rFonts w:cs="Arial"/>
                <w:noProof/>
                <w:sz w:val="18"/>
                <w:szCs w:val="18"/>
                <w:lang w:eastAsia="en-GB"/>
              </w:rPr>
            </w:pPr>
            <w:r w:rsidRPr="002D1C7E">
              <w:rPr>
                <w:rFonts w:cs="Arial"/>
                <w:noProof/>
                <w:sz w:val="18"/>
                <w:szCs w:val="18"/>
                <w:lang w:eastAsia="en-GB"/>
              </w:rPr>
              <w:t>Corporate/Enterprise</w:t>
            </w:r>
          </w:p>
        </w:tc>
        <w:tc>
          <w:tcPr>
            <w:tcW w:w="598" w:type="pct"/>
          </w:tcPr>
          <w:p w14:paraId="120CF16A"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43</w:t>
            </w:r>
          </w:p>
        </w:tc>
        <w:tc>
          <w:tcPr>
            <w:tcW w:w="491" w:type="pct"/>
          </w:tcPr>
          <w:p w14:paraId="15962B61"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23</w:t>
            </w:r>
          </w:p>
        </w:tc>
        <w:tc>
          <w:tcPr>
            <w:tcW w:w="534" w:type="pct"/>
            <w:tcBorders>
              <w:right w:val="single" w:sz="4" w:space="0" w:color="auto"/>
            </w:tcBorders>
          </w:tcPr>
          <w:p w14:paraId="3D0AE0BC"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21</w:t>
            </w:r>
          </w:p>
        </w:tc>
        <w:tc>
          <w:tcPr>
            <w:tcW w:w="533" w:type="pct"/>
            <w:tcBorders>
              <w:top w:val="single" w:sz="4" w:space="0" w:color="auto"/>
              <w:left w:val="single" w:sz="4" w:space="0" w:color="auto"/>
              <w:bottom w:val="single" w:sz="4" w:space="0" w:color="auto"/>
              <w:right w:val="single" w:sz="12" w:space="0" w:color="auto"/>
            </w:tcBorders>
          </w:tcPr>
          <w:p w14:paraId="655C647C" w14:textId="77777777" w:rsidR="004540A7" w:rsidRPr="002D1C7E" w:rsidRDefault="004540A7" w:rsidP="00064BC1">
            <w:pPr>
              <w:pStyle w:val="ListParagraph"/>
              <w:ind w:left="0"/>
              <w:jc w:val="center"/>
              <w:rPr>
                <w:rFonts w:cs="Arial"/>
                <w:b/>
                <w:noProof/>
                <w:sz w:val="18"/>
                <w:szCs w:val="18"/>
                <w:lang w:eastAsia="en-GB"/>
              </w:rPr>
            </w:pPr>
            <w:r w:rsidRPr="002D1C7E">
              <w:rPr>
                <w:rFonts w:cs="Arial"/>
                <w:b/>
                <w:noProof/>
                <w:sz w:val="18"/>
                <w:szCs w:val="18"/>
                <w:lang w:eastAsia="en-GB"/>
              </w:rPr>
              <w:t>87</w:t>
            </w:r>
          </w:p>
        </w:tc>
        <w:tc>
          <w:tcPr>
            <w:tcW w:w="600" w:type="pct"/>
            <w:tcBorders>
              <w:left w:val="single" w:sz="12" w:space="0" w:color="auto"/>
            </w:tcBorders>
          </w:tcPr>
          <w:p w14:paraId="2487E13C"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34</w:t>
            </w:r>
          </w:p>
        </w:tc>
        <w:tc>
          <w:tcPr>
            <w:tcW w:w="467" w:type="pct"/>
          </w:tcPr>
          <w:p w14:paraId="0BD87BC3"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12</w:t>
            </w:r>
          </w:p>
        </w:tc>
        <w:tc>
          <w:tcPr>
            <w:tcW w:w="599" w:type="pct"/>
          </w:tcPr>
          <w:p w14:paraId="0B10ADD4"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15</w:t>
            </w:r>
          </w:p>
        </w:tc>
        <w:tc>
          <w:tcPr>
            <w:tcW w:w="600" w:type="pct"/>
            <w:tcBorders>
              <w:right w:val="single" w:sz="4" w:space="0" w:color="auto"/>
            </w:tcBorders>
          </w:tcPr>
          <w:p w14:paraId="19E94428" w14:textId="77777777" w:rsidR="004540A7" w:rsidRPr="002D1C7E" w:rsidRDefault="004540A7" w:rsidP="00064BC1">
            <w:pPr>
              <w:pStyle w:val="ListParagraph"/>
              <w:ind w:left="0"/>
              <w:jc w:val="center"/>
              <w:rPr>
                <w:rFonts w:cs="Arial"/>
                <w:b/>
                <w:noProof/>
                <w:sz w:val="18"/>
                <w:szCs w:val="18"/>
                <w:lang w:eastAsia="en-GB"/>
              </w:rPr>
            </w:pPr>
            <w:r w:rsidRPr="002D1C7E">
              <w:rPr>
                <w:rFonts w:cs="Arial"/>
                <w:b/>
                <w:noProof/>
                <w:sz w:val="18"/>
                <w:szCs w:val="18"/>
                <w:lang w:eastAsia="en-GB"/>
              </w:rPr>
              <w:t>61</w:t>
            </w:r>
          </w:p>
        </w:tc>
      </w:tr>
      <w:tr w:rsidR="004540A7" w:rsidRPr="002D1C7E" w14:paraId="4C4DAA7E" w14:textId="77777777" w:rsidTr="00064BC1">
        <w:trPr>
          <w:trHeight w:val="822"/>
        </w:trPr>
        <w:tc>
          <w:tcPr>
            <w:tcW w:w="577" w:type="pct"/>
          </w:tcPr>
          <w:p w14:paraId="053BEE45" w14:textId="77777777" w:rsidR="004540A7" w:rsidRPr="002D1C7E" w:rsidRDefault="004540A7" w:rsidP="00064BC1">
            <w:pPr>
              <w:pStyle w:val="ListParagraph"/>
              <w:ind w:left="0"/>
              <w:jc w:val="both"/>
              <w:rPr>
                <w:rFonts w:cs="Arial"/>
                <w:noProof/>
                <w:sz w:val="18"/>
                <w:szCs w:val="18"/>
                <w:lang w:eastAsia="en-GB"/>
              </w:rPr>
            </w:pPr>
            <w:r w:rsidRPr="002D1C7E">
              <w:rPr>
                <w:rFonts w:cs="Arial"/>
                <w:noProof/>
                <w:sz w:val="18"/>
                <w:szCs w:val="18"/>
                <w:lang w:eastAsia="en-GB"/>
              </w:rPr>
              <w:t>Emergency and Integrated Care</w:t>
            </w:r>
          </w:p>
        </w:tc>
        <w:tc>
          <w:tcPr>
            <w:tcW w:w="598" w:type="pct"/>
          </w:tcPr>
          <w:p w14:paraId="67307EF7"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850</w:t>
            </w:r>
          </w:p>
        </w:tc>
        <w:tc>
          <w:tcPr>
            <w:tcW w:w="491" w:type="pct"/>
          </w:tcPr>
          <w:p w14:paraId="4A83C8E2"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130</w:t>
            </w:r>
          </w:p>
        </w:tc>
        <w:tc>
          <w:tcPr>
            <w:tcW w:w="534" w:type="pct"/>
            <w:tcBorders>
              <w:right w:val="single" w:sz="4" w:space="0" w:color="auto"/>
            </w:tcBorders>
          </w:tcPr>
          <w:p w14:paraId="3CBE694F"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245</w:t>
            </w:r>
          </w:p>
        </w:tc>
        <w:tc>
          <w:tcPr>
            <w:tcW w:w="533" w:type="pct"/>
            <w:tcBorders>
              <w:top w:val="single" w:sz="4" w:space="0" w:color="auto"/>
              <w:left w:val="single" w:sz="4" w:space="0" w:color="auto"/>
              <w:bottom w:val="single" w:sz="4" w:space="0" w:color="auto"/>
              <w:right w:val="single" w:sz="12" w:space="0" w:color="auto"/>
            </w:tcBorders>
          </w:tcPr>
          <w:p w14:paraId="6FDAC20E" w14:textId="77777777" w:rsidR="004540A7" w:rsidRPr="002D1C7E" w:rsidRDefault="004540A7" w:rsidP="00064BC1">
            <w:pPr>
              <w:pStyle w:val="ListParagraph"/>
              <w:ind w:left="0"/>
              <w:jc w:val="center"/>
              <w:rPr>
                <w:rFonts w:cs="Arial"/>
                <w:b/>
                <w:noProof/>
                <w:sz w:val="18"/>
                <w:szCs w:val="18"/>
                <w:lang w:eastAsia="en-GB"/>
              </w:rPr>
            </w:pPr>
            <w:r w:rsidRPr="002D1C7E">
              <w:rPr>
                <w:rFonts w:cs="Arial"/>
                <w:b/>
                <w:noProof/>
                <w:sz w:val="18"/>
                <w:szCs w:val="18"/>
                <w:lang w:eastAsia="en-GB"/>
              </w:rPr>
              <w:t>1225</w:t>
            </w:r>
          </w:p>
        </w:tc>
        <w:tc>
          <w:tcPr>
            <w:tcW w:w="600" w:type="pct"/>
            <w:tcBorders>
              <w:left w:val="single" w:sz="12" w:space="0" w:color="auto"/>
            </w:tcBorders>
          </w:tcPr>
          <w:p w14:paraId="3653826E"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634</w:t>
            </w:r>
          </w:p>
        </w:tc>
        <w:tc>
          <w:tcPr>
            <w:tcW w:w="467" w:type="pct"/>
          </w:tcPr>
          <w:p w14:paraId="3CBF8CCE"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139</w:t>
            </w:r>
          </w:p>
        </w:tc>
        <w:tc>
          <w:tcPr>
            <w:tcW w:w="599" w:type="pct"/>
          </w:tcPr>
          <w:p w14:paraId="1B898252"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189</w:t>
            </w:r>
          </w:p>
        </w:tc>
        <w:tc>
          <w:tcPr>
            <w:tcW w:w="600" w:type="pct"/>
            <w:tcBorders>
              <w:right w:val="single" w:sz="4" w:space="0" w:color="auto"/>
            </w:tcBorders>
          </w:tcPr>
          <w:p w14:paraId="05594235" w14:textId="77777777" w:rsidR="004540A7" w:rsidRPr="002D1C7E" w:rsidRDefault="004540A7" w:rsidP="00064BC1">
            <w:pPr>
              <w:pStyle w:val="ListParagraph"/>
              <w:ind w:left="0"/>
              <w:jc w:val="center"/>
              <w:rPr>
                <w:rFonts w:cs="Arial"/>
                <w:b/>
                <w:noProof/>
                <w:sz w:val="18"/>
                <w:szCs w:val="18"/>
                <w:lang w:eastAsia="en-GB"/>
              </w:rPr>
            </w:pPr>
            <w:r w:rsidRPr="002D1C7E">
              <w:rPr>
                <w:rFonts w:cs="Arial"/>
                <w:b/>
                <w:noProof/>
                <w:sz w:val="18"/>
                <w:szCs w:val="18"/>
                <w:lang w:eastAsia="en-GB"/>
              </w:rPr>
              <w:t>962</w:t>
            </w:r>
          </w:p>
        </w:tc>
      </w:tr>
      <w:tr w:rsidR="004540A7" w:rsidRPr="002D1C7E" w14:paraId="534B53DE" w14:textId="77777777" w:rsidTr="00064BC1">
        <w:trPr>
          <w:trHeight w:val="453"/>
        </w:trPr>
        <w:tc>
          <w:tcPr>
            <w:tcW w:w="577" w:type="pct"/>
          </w:tcPr>
          <w:p w14:paraId="5A92894D" w14:textId="77777777" w:rsidR="004540A7" w:rsidRPr="002D1C7E" w:rsidRDefault="004540A7" w:rsidP="00064BC1">
            <w:pPr>
              <w:pStyle w:val="ListParagraph"/>
              <w:ind w:left="0"/>
              <w:jc w:val="both"/>
              <w:rPr>
                <w:rFonts w:cs="Arial"/>
                <w:noProof/>
                <w:sz w:val="18"/>
                <w:szCs w:val="18"/>
                <w:lang w:eastAsia="en-GB"/>
              </w:rPr>
            </w:pPr>
            <w:r w:rsidRPr="002D1C7E">
              <w:rPr>
                <w:rFonts w:cs="Arial"/>
                <w:noProof/>
                <w:sz w:val="18"/>
                <w:szCs w:val="18"/>
                <w:lang w:eastAsia="en-GB"/>
              </w:rPr>
              <w:t>Planned Care</w:t>
            </w:r>
          </w:p>
        </w:tc>
        <w:tc>
          <w:tcPr>
            <w:tcW w:w="598" w:type="pct"/>
          </w:tcPr>
          <w:p w14:paraId="42AA2D88"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646</w:t>
            </w:r>
          </w:p>
        </w:tc>
        <w:tc>
          <w:tcPr>
            <w:tcW w:w="491" w:type="pct"/>
          </w:tcPr>
          <w:p w14:paraId="15A19D17"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138</w:t>
            </w:r>
          </w:p>
        </w:tc>
        <w:tc>
          <w:tcPr>
            <w:tcW w:w="534" w:type="pct"/>
            <w:tcBorders>
              <w:right w:val="single" w:sz="4" w:space="0" w:color="auto"/>
            </w:tcBorders>
          </w:tcPr>
          <w:p w14:paraId="7414374C"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305</w:t>
            </w:r>
          </w:p>
        </w:tc>
        <w:tc>
          <w:tcPr>
            <w:tcW w:w="533" w:type="pct"/>
            <w:tcBorders>
              <w:top w:val="single" w:sz="4" w:space="0" w:color="auto"/>
              <w:left w:val="single" w:sz="4" w:space="0" w:color="auto"/>
              <w:bottom w:val="single" w:sz="4" w:space="0" w:color="auto"/>
              <w:right w:val="single" w:sz="12" w:space="0" w:color="auto"/>
            </w:tcBorders>
          </w:tcPr>
          <w:p w14:paraId="469A4470" w14:textId="77777777" w:rsidR="004540A7" w:rsidRPr="002D1C7E" w:rsidRDefault="004540A7" w:rsidP="00064BC1">
            <w:pPr>
              <w:pStyle w:val="ListParagraph"/>
              <w:ind w:left="0"/>
              <w:jc w:val="center"/>
              <w:rPr>
                <w:rFonts w:cs="Arial"/>
                <w:b/>
                <w:noProof/>
                <w:sz w:val="18"/>
                <w:szCs w:val="18"/>
                <w:lang w:eastAsia="en-GB"/>
              </w:rPr>
            </w:pPr>
            <w:r w:rsidRPr="002D1C7E">
              <w:rPr>
                <w:rFonts w:cs="Arial"/>
                <w:b/>
                <w:noProof/>
                <w:sz w:val="18"/>
                <w:szCs w:val="18"/>
                <w:lang w:eastAsia="en-GB"/>
              </w:rPr>
              <w:t>1089</w:t>
            </w:r>
          </w:p>
        </w:tc>
        <w:tc>
          <w:tcPr>
            <w:tcW w:w="600" w:type="pct"/>
            <w:tcBorders>
              <w:left w:val="single" w:sz="12" w:space="0" w:color="auto"/>
            </w:tcBorders>
          </w:tcPr>
          <w:p w14:paraId="274050D5"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590</w:t>
            </w:r>
          </w:p>
        </w:tc>
        <w:tc>
          <w:tcPr>
            <w:tcW w:w="467" w:type="pct"/>
          </w:tcPr>
          <w:p w14:paraId="6969D48B"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132</w:t>
            </w:r>
          </w:p>
        </w:tc>
        <w:tc>
          <w:tcPr>
            <w:tcW w:w="599" w:type="pct"/>
          </w:tcPr>
          <w:p w14:paraId="1C0BB82F"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379</w:t>
            </w:r>
          </w:p>
        </w:tc>
        <w:tc>
          <w:tcPr>
            <w:tcW w:w="600" w:type="pct"/>
            <w:tcBorders>
              <w:right w:val="single" w:sz="4" w:space="0" w:color="auto"/>
            </w:tcBorders>
          </w:tcPr>
          <w:p w14:paraId="08A594D5" w14:textId="77777777" w:rsidR="004540A7" w:rsidRPr="002D1C7E" w:rsidRDefault="004540A7" w:rsidP="00064BC1">
            <w:pPr>
              <w:pStyle w:val="ListParagraph"/>
              <w:ind w:left="0"/>
              <w:jc w:val="center"/>
              <w:rPr>
                <w:rFonts w:cs="Arial"/>
                <w:b/>
                <w:noProof/>
                <w:sz w:val="18"/>
                <w:szCs w:val="18"/>
                <w:lang w:eastAsia="en-GB"/>
              </w:rPr>
            </w:pPr>
            <w:r w:rsidRPr="002D1C7E">
              <w:rPr>
                <w:rFonts w:cs="Arial"/>
                <w:b/>
                <w:noProof/>
                <w:sz w:val="18"/>
                <w:szCs w:val="18"/>
                <w:lang w:eastAsia="en-GB"/>
              </w:rPr>
              <w:t>1101</w:t>
            </w:r>
          </w:p>
        </w:tc>
      </w:tr>
      <w:tr w:rsidR="004540A7" w:rsidRPr="002D1C7E" w14:paraId="5CB5268C" w14:textId="77777777" w:rsidTr="00064BC1">
        <w:trPr>
          <w:trHeight w:val="609"/>
        </w:trPr>
        <w:tc>
          <w:tcPr>
            <w:tcW w:w="577" w:type="pct"/>
          </w:tcPr>
          <w:p w14:paraId="0BDD5719" w14:textId="77777777" w:rsidR="004540A7" w:rsidRPr="002D1C7E" w:rsidRDefault="004540A7" w:rsidP="00064BC1">
            <w:pPr>
              <w:pStyle w:val="ListParagraph"/>
              <w:ind w:left="0"/>
              <w:jc w:val="both"/>
              <w:rPr>
                <w:rFonts w:cs="Arial"/>
                <w:noProof/>
                <w:sz w:val="18"/>
                <w:szCs w:val="18"/>
                <w:lang w:eastAsia="en-GB"/>
              </w:rPr>
            </w:pPr>
            <w:r w:rsidRPr="002D1C7E">
              <w:rPr>
                <w:rFonts w:cs="Arial"/>
                <w:noProof/>
                <w:sz w:val="18"/>
                <w:szCs w:val="18"/>
                <w:lang w:eastAsia="en-GB"/>
              </w:rPr>
              <w:t>Clinical Support Service</w:t>
            </w:r>
          </w:p>
        </w:tc>
        <w:tc>
          <w:tcPr>
            <w:tcW w:w="598" w:type="pct"/>
          </w:tcPr>
          <w:p w14:paraId="45631FB1"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1065</w:t>
            </w:r>
          </w:p>
          <w:p w14:paraId="06C39954" w14:textId="77777777" w:rsidR="004540A7" w:rsidRPr="002D1C7E" w:rsidRDefault="004540A7" w:rsidP="00064BC1">
            <w:pPr>
              <w:pStyle w:val="ListParagraph"/>
              <w:ind w:left="0"/>
              <w:rPr>
                <w:rFonts w:cs="Arial"/>
                <w:noProof/>
                <w:sz w:val="18"/>
                <w:szCs w:val="18"/>
                <w:lang w:eastAsia="en-GB"/>
              </w:rPr>
            </w:pPr>
          </w:p>
        </w:tc>
        <w:tc>
          <w:tcPr>
            <w:tcW w:w="491" w:type="pct"/>
          </w:tcPr>
          <w:p w14:paraId="18DDDEB2"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26</w:t>
            </w:r>
          </w:p>
        </w:tc>
        <w:tc>
          <w:tcPr>
            <w:tcW w:w="534" w:type="pct"/>
            <w:tcBorders>
              <w:right w:val="single" w:sz="4" w:space="0" w:color="auto"/>
            </w:tcBorders>
          </w:tcPr>
          <w:p w14:paraId="12B50877"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62</w:t>
            </w:r>
          </w:p>
        </w:tc>
        <w:tc>
          <w:tcPr>
            <w:tcW w:w="533" w:type="pct"/>
            <w:tcBorders>
              <w:top w:val="single" w:sz="4" w:space="0" w:color="auto"/>
              <w:left w:val="single" w:sz="4" w:space="0" w:color="auto"/>
              <w:bottom w:val="single" w:sz="4" w:space="0" w:color="auto"/>
              <w:right w:val="single" w:sz="12" w:space="0" w:color="auto"/>
            </w:tcBorders>
          </w:tcPr>
          <w:p w14:paraId="461280BE" w14:textId="77777777" w:rsidR="004540A7" w:rsidRPr="002D1C7E" w:rsidRDefault="004540A7" w:rsidP="00064BC1">
            <w:pPr>
              <w:pStyle w:val="ListParagraph"/>
              <w:ind w:left="0"/>
              <w:jc w:val="center"/>
              <w:rPr>
                <w:rFonts w:cs="Arial"/>
                <w:b/>
                <w:noProof/>
                <w:sz w:val="18"/>
                <w:szCs w:val="18"/>
                <w:lang w:eastAsia="en-GB"/>
              </w:rPr>
            </w:pPr>
            <w:r w:rsidRPr="002D1C7E">
              <w:rPr>
                <w:rFonts w:cs="Arial"/>
                <w:b/>
                <w:noProof/>
                <w:sz w:val="18"/>
                <w:szCs w:val="18"/>
                <w:lang w:eastAsia="en-GB"/>
              </w:rPr>
              <w:t>1153</w:t>
            </w:r>
          </w:p>
        </w:tc>
        <w:tc>
          <w:tcPr>
            <w:tcW w:w="600" w:type="pct"/>
            <w:tcBorders>
              <w:left w:val="single" w:sz="12" w:space="0" w:color="auto"/>
            </w:tcBorders>
          </w:tcPr>
          <w:p w14:paraId="4EE1C5C0"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792</w:t>
            </w:r>
          </w:p>
        </w:tc>
        <w:tc>
          <w:tcPr>
            <w:tcW w:w="467" w:type="pct"/>
          </w:tcPr>
          <w:p w14:paraId="466C3097"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30</w:t>
            </w:r>
          </w:p>
        </w:tc>
        <w:tc>
          <w:tcPr>
            <w:tcW w:w="599" w:type="pct"/>
          </w:tcPr>
          <w:p w14:paraId="3F90E287"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145</w:t>
            </w:r>
          </w:p>
        </w:tc>
        <w:tc>
          <w:tcPr>
            <w:tcW w:w="600" w:type="pct"/>
            <w:tcBorders>
              <w:right w:val="single" w:sz="4" w:space="0" w:color="auto"/>
            </w:tcBorders>
          </w:tcPr>
          <w:p w14:paraId="344F2E6F" w14:textId="77777777" w:rsidR="004540A7" w:rsidRPr="002D1C7E" w:rsidRDefault="004540A7" w:rsidP="00064BC1">
            <w:pPr>
              <w:pStyle w:val="ListParagraph"/>
              <w:ind w:left="0"/>
              <w:jc w:val="center"/>
              <w:rPr>
                <w:rFonts w:cs="Arial"/>
                <w:b/>
                <w:noProof/>
                <w:sz w:val="18"/>
                <w:szCs w:val="18"/>
                <w:lang w:eastAsia="en-GB"/>
              </w:rPr>
            </w:pPr>
            <w:r w:rsidRPr="002D1C7E">
              <w:rPr>
                <w:rFonts w:cs="Arial"/>
                <w:b/>
                <w:noProof/>
                <w:sz w:val="18"/>
                <w:szCs w:val="18"/>
                <w:lang w:eastAsia="en-GB"/>
              </w:rPr>
              <w:t>967</w:t>
            </w:r>
          </w:p>
        </w:tc>
      </w:tr>
      <w:tr w:rsidR="004540A7" w:rsidRPr="002D1C7E" w14:paraId="57998343" w14:textId="77777777" w:rsidTr="00064BC1">
        <w:trPr>
          <w:trHeight w:val="609"/>
        </w:trPr>
        <w:tc>
          <w:tcPr>
            <w:tcW w:w="577" w:type="pct"/>
          </w:tcPr>
          <w:p w14:paraId="2C94BAFA" w14:textId="77777777" w:rsidR="004540A7" w:rsidRPr="002D1C7E" w:rsidRDefault="004540A7" w:rsidP="00064BC1">
            <w:pPr>
              <w:pStyle w:val="ListParagraph"/>
              <w:ind w:left="0"/>
              <w:jc w:val="both"/>
              <w:rPr>
                <w:rFonts w:cs="Arial"/>
                <w:noProof/>
                <w:sz w:val="18"/>
                <w:szCs w:val="18"/>
                <w:lang w:eastAsia="en-GB"/>
              </w:rPr>
            </w:pPr>
            <w:r w:rsidRPr="002D1C7E">
              <w:rPr>
                <w:rFonts w:cs="Arial"/>
                <w:noProof/>
                <w:sz w:val="18"/>
                <w:szCs w:val="18"/>
                <w:lang w:eastAsia="en-GB"/>
              </w:rPr>
              <w:t>Specialist Care Division</w:t>
            </w:r>
          </w:p>
        </w:tc>
        <w:tc>
          <w:tcPr>
            <w:tcW w:w="598" w:type="pct"/>
          </w:tcPr>
          <w:p w14:paraId="60D5D4CC"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653</w:t>
            </w:r>
          </w:p>
        </w:tc>
        <w:tc>
          <w:tcPr>
            <w:tcW w:w="491" w:type="pct"/>
          </w:tcPr>
          <w:p w14:paraId="065176FF"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119</w:t>
            </w:r>
          </w:p>
        </w:tc>
        <w:tc>
          <w:tcPr>
            <w:tcW w:w="534" w:type="pct"/>
            <w:tcBorders>
              <w:right w:val="single" w:sz="4" w:space="0" w:color="auto"/>
            </w:tcBorders>
          </w:tcPr>
          <w:p w14:paraId="7E4EC2CA"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79</w:t>
            </w:r>
          </w:p>
        </w:tc>
        <w:tc>
          <w:tcPr>
            <w:tcW w:w="533" w:type="pct"/>
            <w:tcBorders>
              <w:top w:val="single" w:sz="4" w:space="0" w:color="auto"/>
              <w:left w:val="single" w:sz="4" w:space="0" w:color="auto"/>
              <w:bottom w:val="single" w:sz="4" w:space="0" w:color="auto"/>
              <w:right w:val="single" w:sz="12" w:space="0" w:color="auto"/>
            </w:tcBorders>
          </w:tcPr>
          <w:p w14:paraId="2E93BB64" w14:textId="77777777" w:rsidR="004540A7" w:rsidRPr="002D1C7E" w:rsidRDefault="004540A7" w:rsidP="00064BC1">
            <w:pPr>
              <w:pStyle w:val="ListParagraph"/>
              <w:ind w:left="0"/>
              <w:jc w:val="center"/>
              <w:rPr>
                <w:rFonts w:cs="Arial"/>
                <w:b/>
                <w:noProof/>
                <w:sz w:val="18"/>
                <w:szCs w:val="18"/>
                <w:lang w:eastAsia="en-GB"/>
              </w:rPr>
            </w:pPr>
            <w:r w:rsidRPr="002D1C7E">
              <w:rPr>
                <w:rFonts w:cs="Arial"/>
                <w:b/>
                <w:noProof/>
                <w:sz w:val="18"/>
                <w:szCs w:val="18"/>
                <w:lang w:eastAsia="en-GB"/>
              </w:rPr>
              <w:t>851</w:t>
            </w:r>
          </w:p>
        </w:tc>
        <w:tc>
          <w:tcPr>
            <w:tcW w:w="600" w:type="pct"/>
            <w:tcBorders>
              <w:left w:val="single" w:sz="12" w:space="0" w:color="auto"/>
            </w:tcBorders>
          </w:tcPr>
          <w:p w14:paraId="7488B67A"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655</w:t>
            </w:r>
          </w:p>
        </w:tc>
        <w:tc>
          <w:tcPr>
            <w:tcW w:w="467" w:type="pct"/>
          </w:tcPr>
          <w:p w14:paraId="3BCD6DA4"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138</w:t>
            </w:r>
          </w:p>
        </w:tc>
        <w:tc>
          <w:tcPr>
            <w:tcW w:w="599" w:type="pct"/>
          </w:tcPr>
          <w:p w14:paraId="52F40837"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141</w:t>
            </w:r>
          </w:p>
        </w:tc>
        <w:tc>
          <w:tcPr>
            <w:tcW w:w="600" w:type="pct"/>
            <w:tcBorders>
              <w:right w:val="single" w:sz="4" w:space="0" w:color="auto"/>
            </w:tcBorders>
          </w:tcPr>
          <w:p w14:paraId="76EC0570" w14:textId="77777777" w:rsidR="004540A7" w:rsidRPr="002D1C7E" w:rsidRDefault="004540A7" w:rsidP="00064BC1">
            <w:pPr>
              <w:pStyle w:val="ListParagraph"/>
              <w:ind w:left="0"/>
              <w:jc w:val="center"/>
              <w:rPr>
                <w:rFonts w:cs="Arial"/>
                <w:b/>
                <w:noProof/>
                <w:sz w:val="18"/>
                <w:szCs w:val="18"/>
                <w:lang w:eastAsia="en-GB"/>
              </w:rPr>
            </w:pPr>
            <w:r w:rsidRPr="002D1C7E">
              <w:rPr>
                <w:rFonts w:cs="Arial"/>
                <w:b/>
                <w:noProof/>
                <w:sz w:val="18"/>
                <w:szCs w:val="18"/>
                <w:lang w:eastAsia="en-GB"/>
              </w:rPr>
              <w:t>934</w:t>
            </w:r>
          </w:p>
        </w:tc>
      </w:tr>
      <w:tr w:rsidR="004540A7" w:rsidRPr="002D1C7E" w14:paraId="585FA1F9" w14:textId="77777777" w:rsidTr="00064BC1">
        <w:trPr>
          <w:trHeight w:val="623"/>
        </w:trPr>
        <w:tc>
          <w:tcPr>
            <w:tcW w:w="577" w:type="pct"/>
          </w:tcPr>
          <w:p w14:paraId="374D78A2" w14:textId="77777777" w:rsidR="004540A7" w:rsidRPr="002D1C7E" w:rsidRDefault="004540A7" w:rsidP="00064BC1">
            <w:pPr>
              <w:pStyle w:val="ListParagraph"/>
              <w:ind w:left="0"/>
              <w:jc w:val="both"/>
              <w:rPr>
                <w:rFonts w:cs="Arial"/>
                <w:noProof/>
                <w:sz w:val="18"/>
                <w:szCs w:val="18"/>
                <w:lang w:eastAsia="en-GB"/>
              </w:rPr>
            </w:pPr>
            <w:r w:rsidRPr="002D1C7E">
              <w:rPr>
                <w:rFonts w:cs="Arial"/>
                <w:noProof/>
                <w:sz w:val="18"/>
                <w:szCs w:val="18"/>
                <w:lang w:eastAsia="en-GB"/>
              </w:rPr>
              <w:t>West London Children’s Healthcare</w:t>
            </w:r>
          </w:p>
        </w:tc>
        <w:tc>
          <w:tcPr>
            <w:tcW w:w="598" w:type="pct"/>
          </w:tcPr>
          <w:p w14:paraId="3219A9C8"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119</w:t>
            </w:r>
          </w:p>
        </w:tc>
        <w:tc>
          <w:tcPr>
            <w:tcW w:w="491" w:type="pct"/>
          </w:tcPr>
          <w:p w14:paraId="1D9329B6"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22</w:t>
            </w:r>
          </w:p>
        </w:tc>
        <w:tc>
          <w:tcPr>
            <w:tcW w:w="534" w:type="pct"/>
            <w:tcBorders>
              <w:right w:val="single" w:sz="4" w:space="0" w:color="auto"/>
            </w:tcBorders>
          </w:tcPr>
          <w:p w14:paraId="31B3EC9B"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23</w:t>
            </w:r>
          </w:p>
        </w:tc>
        <w:tc>
          <w:tcPr>
            <w:tcW w:w="533" w:type="pct"/>
            <w:tcBorders>
              <w:top w:val="single" w:sz="4" w:space="0" w:color="auto"/>
              <w:left w:val="single" w:sz="4" w:space="0" w:color="auto"/>
              <w:bottom w:val="single" w:sz="4" w:space="0" w:color="auto"/>
              <w:right w:val="single" w:sz="12" w:space="0" w:color="auto"/>
            </w:tcBorders>
          </w:tcPr>
          <w:p w14:paraId="5E88C6B5" w14:textId="77777777" w:rsidR="004540A7" w:rsidRPr="002D1C7E" w:rsidRDefault="004540A7" w:rsidP="00064BC1">
            <w:pPr>
              <w:pStyle w:val="ListParagraph"/>
              <w:ind w:left="0"/>
              <w:jc w:val="center"/>
              <w:rPr>
                <w:rFonts w:cs="Arial"/>
                <w:b/>
                <w:noProof/>
                <w:sz w:val="18"/>
                <w:szCs w:val="18"/>
                <w:lang w:eastAsia="en-GB"/>
              </w:rPr>
            </w:pPr>
            <w:r w:rsidRPr="002D1C7E">
              <w:rPr>
                <w:rFonts w:cs="Arial"/>
                <w:b/>
                <w:noProof/>
                <w:sz w:val="18"/>
                <w:szCs w:val="18"/>
                <w:lang w:eastAsia="en-GB"/>
              </w:rPr>
              <w:t>164</w:t>
            </w:r>
          </w:p>
        </w:tc>
        <w:tc>
          <w:tcPr>
            <w:tcW w:w="600" w:type="pct"/>
            <w:tcBorders>
              <w:left w:val="single" w:sz="12" w:space="0" w:color="auto"/>
            </w:tcBorders>
          </w:tcPr>
          <w:p w14:paraId="403BE3C6"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(see above)</w:t>
            </w:r>
          </w:p>
        </w:tc>
        <w:tc>
          <w:tcPr>
            <w:tcW w:w="467" w:type="pct"/>
          </w:tcPr>
          <w:p w14:paraId="549DEA7C"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30</w:t>
            </w:r>
          </w:p>
        </w:tc>
        <w:tc>
          <w:tcPr>
            <w:tcW w:w="599" w:type="pct"/>
          </w:tcPr>
          <w:p w14:paraId="493982CB" w14:textId="77777777" w:rsidR="004540A7" w:rsidRPr="002D1C7E" w:rsidRDefault="004540A7" w:rsidP="00064BC1">
            <w:pPr>
              <w:pStyle w:val="ListParagraph"/>
              <w:ind w:left="0"/>
              <w:jc w:val="center"/>
              <w:rPr>
                <w:rFonts w:cs="Arial"/>
                <w:noProof/>
                <w:sz w:val="18"/>
                <w:szCs w:val="18"/>
                <w:lang w:eastAsia="en-GB"/>
              </w:rPr>
            </w:pPr>
            <w:r w:rsidRPr="002D1C7E">
              <w:rPr>
                <w:rFonts w:cs="Arial"/>
                <w:noProof/>
                <w:sz w:val="18"/>
                <w:szCs w:val="18"/>
                <w:lang w:eastAsia="en-GB"/>
              </w:rPr>
              <w:t>52</w:t>
            </w:r>
          </w:p>
        </w:tc>
        <w:tc>
          <w:tcPr>
            <w:tcW w:w="600" w:type="pct"/>
            <w:tcBorders>
              <w:right w:val="single" w:sz="4" w:space="0" w:color="auto"/>
            </w:tcBorders>
          </w:tcPr>
          <w:p w14:paraId="3E5B873A" w14:textId="77777777" w:rsidR="004540A7" w:rsidRPr="002D1C7E" w:rsidRDefault="004540A7" w:rsidP="00064BC1">
            <w:pPr>
              <w:pStyle w:val="ListParagraph"/>
              <w:ind w:left="0"/>
              <w:jc w:val="center"/>
              <w:rPr>
                <w:rFonts w:cs="Arial"/>
                <w:b/>
                <w:noProof/>
                <w:sz w:val="18"/>
                <w:szCs w:val="18"/>
                <w:lang w:eastAsia="en-GB"/>
              </w:rPr>
            </w:pPr>
            <w:r w:rsidRPr="002D1C7E">
              <w:rPr>
                <w:rFonts w:cs="Arial"/>
                <w:b/>
                <w:noProof/>
                <w:sz w:val="18"/>
                <w:szCs w:val="18"/>
                <w:lang w:eastAsia="en-GB"/>
              </w:rPr>
              <w:t>82</w:t>
            </w:r>
          </w:p>
        </w:tc>
      </w:tr>
      <w:tr w:rsidR="004540A7" w:rsidRPr="002D1C7E" w14:paraId="07FA7DDC" w14:textId="77777777" w:rsidTr="00064BC1">
        <w:trPr>
          <w:trHeight w:val="439"/>
        </w:trPr>
        <w:tc>
          <w:tcPr>
            <w:tcW w:w="577" w:type="pct"/>
          </w:tcPr>
          <w:p w14:paraId="67D5A87E" w14:textId="77777777" w:rsidR="004540A7" w:rsidRPr="002D1C7E" w:rsidRDefault="004540A7" w:rsidP="00064BC1">
            <w:pPr>
              <w:pStyle w:val="ListParagraph"/>
              <w:ind w:left="0"/>
              <w:jc w:val="both"/>
              <w:rPr>
                <w:rFonts w:cs="Arial"/>
                <w:b/>
                <w:noProof/>
                <w:sz w:val="18"/>
                <w:szCs w:val="18"/>
                <w:lang w:eastAsia="en-GB"/>
              </w:rPr>
            </w:pPr>
            <w:r w:rsidRPr="002D1C7E">
              <w:rPr>
                <w:rFonts w:cs="Arial"/>
                <w:b/>
                <w:noProof/>
                <w:sz w:val="18"/>
                <w:szCs w:val="18"/>
                <w:lang w:eastAsia="en-GB"/>
              </w:rPr>
              <w:t>TOTAL</w:t>
            </w:r>
          </w:p>
        </w:tc>
        <w:tc>
          <w:tcPr>
            <w:tcW w:w="598" w:type="pct"/>
          </w:tcPr>
          <w:p w14:paraId="0AADDE37" w14:textId="77777777" w:rsidR="004540A7" w:rsidRPr="002D1C7E" w:rsidRDefault="004540A7" w:rsidP="00064BC1">
            <w:pPr>
              <w:pStyle w:val="ListParagraph"/>
              <w:ind w:left="0"/>
              <w:jc w:val="center"/>
              <w:rPr>
                <w:rFonts w:cs="Arial"/>
                <w:b/>
                <w:noProof/>
                <w:sz w:val="18"/>
                <w:szCs w:val="18"/>
                <w:lang w:eastAsia="en-GB"/>
              </w:rPr>
            </w:pPr>
            <w:r w:rsidRPr="002D1C7E">
              <w:rPr>
                <w:rFonts w:cs="Arial"/>
                <w:b/>
                <w:noProof/>
                <w:sz w:val="18"/>
                <w:szCs w:val="18"/>
                <w:lang w:eastAsia="en-GB"/>
              </w:rPr>
              <w:t>3376</w:t>
            </w:r>
          </w:p>
        </w:tc>
        <w:tc>
          <w:tcPr>
            <w:tcW w:w="491" w:type="pct"/>
          </w:tcPr>
          <w:p w14:paraId="4B32A1CC" w14:textId="77777777" w:rsidR="004540A7" w:rsidRPr="002D1C7E" w:rsidRDefault="004540A7" w:rsidP="00064BC1">
            <w:pPr>
              <w:pStyle w:val="ListParagraph"/>
              <w:ind w:left="0"/>
              <w:jc w:val="center"/>
              <w:rPr>
                <w:rFonts w:cs="Arial"/>
                <w:b/>
                <w:noProof/>
                <w:sz w:val="18"/>
                <w:szCs w:val="18"/>
                <w:lang w:eastAsia="en-GB"/>
              </w:rPr>
            </w:pPr>
            <w:r w:rsidRPr="002D1C7E">
              <w:rPr>
                <w:rFonts w:cs="Arial"/>
                <w:b/>
                <w:noProof/>
                <w:sz w:val="18"/>
                <w:szCs w:val="18"/>
                <w:lang w:eastAsia="en-GB"/>
              </w:rPr>
              <w:t>458</w:t>
            </w:r>
          </w:p>
        </w:tc>
        <w:tc>
          <w:tcPr>
            <w:tcW w:w="534" w:type="pct"/>
            <w:tcBorders>
              <w:right w:val="single" w:sz="4" w:space="0" w:color="auto"/>
            </w:tcBorders>
          </w:tcPr>
          <w:p w14:paraId="7075E353" w14:textId="77777777" w:rsidR="004540A7" w:rsidRPr="002D1C7E" w:rsidRDefault="004540A7" w:rsidP="00064BC1">
            <w:pPr>
              <w:pStyle w:val="ListParagraph"/>
              <w:ind w:left="0"/>
              <w:jc w:val="center"/>
              <w:rPr>
                <w:rFonts w:cs="Arial"/>
                <w:b/>
                <w:noProof/>
                <w:sz w:val="18"/>
                <w:szCs w:val="18"/>
                <w:lang w:eastAsia="en-GB"/>
              </w:rPr>
            </w:pPr>
            <w:r w:rsidRPr="002D1C7E">
              <w:rPr>
                <w:rFonts w:cs="Arial"/>
                <w:b/>
                <w:noProof/>
                <w:sz w:val="18"/>
                <w:szCs w:val="18"/>
                <w:lang w:eastAsia="en-GB"/>
              </w:rPr>
              <w:t>735</w:t>
            </w:r>
          </w:p>
        </w:tc>
        <w:tc>
          <w:tcPr>
            <w:tcW w:w="533" w:type="pct"/>
            <w:tcBorders>
              <w:top w:val="single" w:sz="4" w:space="0" w:color="auto"/>
              <w:left w:val="single" w:sz="4" w:space="0" w:color="auto"/>
              <w:bottom w:val="single" w:sz="4" w:space="0" w:color="auto"/>
              <w:right w:val="single" w:sz="12" w:space="0" w:color="auto"/>
            </w:tcBorders>
          </w:tcPr>
          <w:p w14:paraId="759EEDA5" w14:textId="77777777" w:rsidR="004540A7" w:rsidRPr="002D1C7E" w:rsidRDefault="004540A7" w:rsidP="00064BC1">
            <w:pPr>
              <w:pStyle w:val="ListParagraph"/>
              <w:ind w:left="0"/>
              <w:jc w:val="center"/>
              <w:rPr>
                <w:rFonts w:cs="Arial"/>
                <w:b/>
                <w:noProof/>
                <w:sz w:val="18"/>
                <w:szCs w:val="18"/>
                <w:lang w:eastAsia="en-GB"/>
              </w:rPr>
            </w:pPr>
            <w:r w:rsidRPr="002D1C7E">
              <w:rPr>
                <w:rFonts w:cs="Arial"/>
                <w:b/>
                <w:noProof/>
                <w:sz w:val="18"/>
                <w:szCs w:val="18"/>
                <w:lang w:eastAsia="en-GB"/>
              </w:rPr>
              <w:t>4569</w:t>
            </w:r>
          </w:p>
        </w:tc>
        <w:tc>
          <w:tcPr>
            <w:tcW w:w="600" w:type="pct"/>
            <w:tcBorders>
              <w:left w:val="single" w:sz="12" w:space="0" w:color="auto"/>
            </w:tcBorders>
          </w:tcPr>
          <w:p w14:paraId="6D0FD4F1" w14:textId="77777777" w:rsidR="004540A7" w:rsidRPr="002D1C7E" w:rsidRDefault="004540A7" w:rsidP="00064BC1">
            <w:pPr>
              <w:pStyle w:val="ListParagraph"/>
              <w:ind w:left="0"/>
              <w:jc w:val="center"/>
              <w:rPr>
                <w:rFonts w:cs="Arial"/>
                <w:b/>
                <w:noProof/>
                <w:sz w:val="18"/>
                <w:szCs w:val="18"/>
                <w:lang w:eastAsia="en-GB"/>
              </w:rPr>
            </w:pPr>
            <w:r w:rsidRPr="002D1C7E">
              <w:rPr>
                <w:rFonts w:cs="Arial"/>
                <w:b/>
                <w:noProof/>
                <w:sz w:val="18"/>
                <w:szCs w:val="18"/>
                <w:lang w:eastAsia="en-GB"/>
              </w:rPr>
              <w:t>2705</w:t>
            </w:r>
          </w:p>
        </w:tc>
        <w:tc>
          <w:tcPr>
            <w:tcW w:w="467" w:type="pct"/>
          </w:tcPr>
          <w:p w14:paraId="13690116" w14:textId="77777777" w:rsidR="004540A7" w:rsidRPr="002D1C7E" w:rsidRDefault="004540A7" w:rsidP="00064BC1">
            <w:pPr>
              <w:pStyle w:val="ListParagraph"/>
              <w:ind w:left="0"/>
              <w:jc w:val="center"/>
              <w:rPr>
                <w:rFonts w:cs="Arial"/>
                <w:b/>
                <w:noProof/>
                <w:sz w:val="18"/>
                <w:szCs w:val="18"/>
                <w:lang w:eastAsia="en-GB"/>
              </w:rPr>
            </w:pPr>
            <w:r w:rsidRPr="002D1C7E">
              <w:rPr>
                <w:rFonts w:cs="Arial"/>
                <w:b/>
                <w:noProof/>
                <w:sz w:val="18"/>
                <w:szCs w:val="18"/>
                <w:lang w:eastAsia="en-GB"/>
              </w:rPr>
              <w:t>481</w:t>
            </w:r>
          </w:p>
        </w:tc>
        <w:tc>
          <w:tcPr>
            <w:tcW w:w="599" w:type="pct"/>
          </w:tcPr>
          <w:p w14:paraId="3E5B733F" w14:textId="77777777" w:rsidR="004540A7" w:rsidRPr="002D1C7E" w:rsidRDefault="004540A7" w:rsidP="00064BC1">
            <w:pPr>
              <w:pStyle w:val="ListParagraph"/>
              <w:ind w:left="0"/>
              <w:jc w:val="center"/>
              <w:rPr>
                <w:rFonts w:cs="Arial"/>
                <w:b/>
                <w:noProof/>
                <w:sz w:val="18"/>
                <w:szCs w:val="18"/>
                <w:lang w:eastAsia="en-GB"/>
              </w:rPr>
            </w:pPr>
            <w:r w:rsidRPr="002D1C7E">
              <w:rPr>
                <w:rFonts w:cs="Arial"/>
                <w:b/>
                <w:noProof/>
                <w:sz w:val="18"/>
                <w:szCs w:val="18"/>
                <w:lang w:eastAsia="en-GB"/>
              </w:rPr>
              <w:t>921</w:t>
            </w:r>
          </w:p>
        </w:tc>
        <w:tc>
          <w:tcPr>
            <w:tcW w:w="600" w:type="pct"/>
            <w:tcBorders>
              <w:right w:val="single" w:sz="4" w:space="0" w:color="auto"/>
            </w:tcBorders>
          </w:tcPr>
          <w:p w14:paraId="556111F3" w14:textId="77777777" w:rsidR="004540A7" w:rsidRPr="002D1C7E" w:rsidRDefault="004540A7" w:rsidP="00064BC1">
            <w:pPr>
              <w:pStyle w:val="ListParagraph"/>
              <w:ind w:left="0"/>
              <w:jc w:val="center"/>
              <w:rPr>
                <w:rFonts w:cs="Arial"/>
                <w:b/>
                <w:noProof/>
                <w:sz w:val="18"/>
                <w:szCs w:val="18"/>
                <w:lang w:eastAsia="en-GB"/>
              </w:rPr>
            </w:pPr>
            <w:r w:rsidRPr="002D1C7E">
              <w:rPr>
                <w:rFonts w:cs="Arial"/>
                <w:b/>
                <w:noProof/>
                <w:sz w:val="18"/>
                <w:szCs w:val="18"/>
                <w:lang w:eastAsia="en-GB"/>
              </w:rPr>
              <w:t>4107</w:t>
            </w:r>
          </w:p>
        </w:tc>
      </w:tr>
    </w:tbl>
    <w:p w14:paraId="2FBB0796" w14:textId="77777777" w:rsidR="004540A7" w:rsidRPr="002D1C7E" w:rsidRDefault="004540A7" w:rsidP="004540A7">
      <w:pPr>
        <w:spacing w:after="0"/>
        <w:rPr>
          <w:rFonts w:cs="Arial"/>
          <w:b/>
        </w:rPr>
      </w:pPr>
    </w:p>
    <w:p w14:paraId="351ED4D8" w14:textId="77777777" w:rsidR="004540A7" w:rsidRPr="002D1C7E" w:rsidRDefault="004540A7" w:rsidP="004540A7">
      <w:pPr>
        <w:spacing w:after="0"/>
        <w:rPr>
          <w:rFonts w:cs="Arial"/>
          <w:b/>
        </w:rPr>
      </w:pPr>
      <w:r w:rsidRPr="002D1C7E">
        <w:rPr>
          <w:rFonts w:cs="Arial"/>
          <w:b/>
        </w:rPr>
        <w:t xml:space="preserve">Complaints performance </w:t>
      </w:r>
    </w:p>
    <w:p w14:paraId="7AD823A7" w14:textId="282F52F2" w:rsidR="004540A7" w:rsidRDefault="004540A7" w:rsidP="004540A7">
      <w:pPr>
        <w:spacing w:after="0"/>
        <w:rPr>
          <w:rFonts w:cs="Arial"/>
          <w:b/>
        </w:rPr>
      </w:pPr>
    </w:p>
    <w:p w14:paraId="3A8DE608" w14:textId="43D815C0" w:rsidR="00E11680" w:rsidRPr="00E11680" w:rsidRDefault="00E11680" w:rsidP="004540A7">
      <w:pPr>
        <w:spacing w:after="0"/>
        <w:rPr>
          <w:rFonts w:cs="Arial"/>
          <w:sz w:val="22"/>
        </w:rPr>
      </w:pPr>
      <w:r w:rsidRPr="00E11680">
        <w:rPr>
          <w:rFonts w:cs="Arial"/>
          <w:sz w:val="22"/>
        </w:rPr>
        <w:t xml:space="preserve">The target of acknowledging </w:t>
      </w:r>
      <w:r>
        <w:rPr>
          <w:rFonts w:cs="Arial"/>
          <w:sz w:val="22"/>
        </w:rPr>
        <w:t xml:space="preserve">95% of </w:t>
      </w:r>
      <w:r w:rsidRPr="00E11680">
        <w:rPr>
          <w:rFonts w:cs="Arial"/>
          <w:sz w:val="22"/>
        </w:rPr>
        <w:t>complaints within two working days</w:t>
      </w:r>
      <w:r>
        <w:rPr>
          <w:rFonts w:cs="Arial"/>
          <w:sz w:val="22"/>
        </w:rPr>
        <w:t xml:space="preserve"> was not met on three occasions:</w:t>
      </w:r>
    </w:p>
    <w:p w14:paraId="5790EE4D" w14:textId="77777777" w:rsidR="004540A7" w:rsidRPr="002D1C7E" w:rsidRDefault="004540A7" w:rsidP="004540A7">
      <w:pPr>
        <w:pStyle w:val="NoSpacing"/>
        <w:jc w:val="both"/>
        <w:rPr>
          <w:rFonts w:ascii="Arial" w:hAnsi="Arial" w:cs="Arial"/>
        </w:rPr>
      </w:pPr>
      <w:r w:rsidRPr="002D1C7E">
        <w:rPr>
          <w:rFonts w:ascii="Arial" w:hAnsi="Arial" w:cs="Arial"/>
          <w:noProof/>
          <w:lang w:eastAsia="en-GB"/>
        </w:rPr>
        <w:drawing>
          <wp:inline distT="0" distB="0" distL="0" distR="0" wp14:anchorId="66073932" wp14:editId="37BE6591">
            <wp:extent cx="6372225" cy="2714625"/>
            <wp:effectExtent l="0" t="0" r="9525"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E12F5AF" w14:textId="77777777" w:rsidR="004540A7" w:rsidRPr="002D1C7E" w:rsidRDefault="004540A7" w:rsidP="004540A7">
      <w:pPr>
        <w:pStyle w:val="NoSpacing"/>
        <w:jc w:val="both"/>
        <w:rPr>
          <w:rFonts w:ascii="Arial" w:hAnsi="Arial" w:cs="Arial"/>
        </w:rPr>
      </w:pPr>
    </w:p>
    <w:p w14:paraId="56A4E7AE" w14:textId="25BB8FB4" w:rsidR="00064BC1" w:rsidRDefault="004540A7" w:rsidP="004540A7">
      <w:pPr>
        <w:pStyle w:val="NoSpacing"/>
        <w:jc w:val="both"/>
        <w:rPr>
          <w:rFonts w:ascii="Arial" w:hAnsi="Arial" w:cs="Arial"/>
        </w:rPr>
      </w:pPr>
      <w:r w:rsidRPr="002D1C7E">
        <w:rPr>
          <w:rFonts w:ascii="Arial" w:hAnsi="Arial" w:cs="Arial"/>
        </w:rPr>
        <w:t xml:space="preserve">The graph below shows the Trust’s performance </w:t>
      </w:r>
      <w:r w:rsidR="00CE71E2">
        <w:rPr>
          <w:rFonts w:ascii="Arial" w:hAnsi="Arial" w:cs="Arial"/>
        </w:rPr>
        <w:t xml:space="preserve">with </w:t>
      </w:r>
      <w:r w:rsidRPr="002D1C7E">
        <w:rPr>
          <w:rFonts w:ascii="Arial" w:hAnsi="Arial" w:cs="Arial"/>
        </w:rPr>
        <w:t xml:space="preserve">responding to complaints within 25 working days. </w:t>
      </w:r>
      <w:r w:rsidR="00064BC1">
        <w:rPr>
          <w:rFonts w:ascii="Arial" w:hAnsi="Arial" w:cs="Arial"/>
        </w:rPr>
        <w:t xml:space="preserve">The KPI of 95% of complaints being responded to within 25 working days has not been met this year, </w:t>
      </w:r>
      <w:r w:rsidR="00E02CA3">
        <w:rPr>
          <w:rFonts w:ascii="Arial" w:hAnsi="Arial" w:cs="Arial"/>
        </w:rPr>
        <w:t xml:space="preserve">there have been </w:t>
      </w:r>
      <w:r w:rsidR="00064BC1">
        <w:rPr>
          <w:rFonts w:ascii="Arial" w:hAnsi="Arial" w:cs="Arial"/>
        </w:rPr>
        <w:t>delays in receiving outcomes from investigators</w:t>
      </w:r>
      <w:r w:rsidR="00E02CA3">
        <w:rPr>
          <w:rFonts w:ascii="Arial" w:hAnsi="Arial" w:cs="Arial"/>
        </w:rPr>
        <w:t xml:space="preserve"> </w:t>
      </w:r>
      <w:r w:rsidR="00064BC1">
        <w:rPr>
          <w:rFonts w:ascii="Arial" w:hAnsi="Arial" w:cs="Arial"/>
        </w:rPr>
        <w:t xml:space="preserve">and </w:t>
      </w:r>
      <w:r w:rsidR="00E02CA3">
        <w:rPr>
          <w:rFonts w:ascii="Arial" w:hAnsi="Arial" w:cs="Arial"/>
        </w:rPr>
        <w:t xml:space="preserve">also </w:t>
      </w:r>
      <w:r w:rsidR="00064BC1">
        <w:rPr>
          <w:rFonts w:ascii="Arial" w:hAnsi="Arial" w:cs="Arial"/>
        </w:rPr>
        <w:t>further investigation</w:t>
      </w:r>
      <w:r w:rsidR="00E02CA3">
        <w:rPr>
          <w:rFonts w:ascii="Arial" w:hAnsi="Arial" w:cs="Arial"/>
        </w:rPr>
        <w:t xml:space="preserve"> required to answer complaints</w:t>
      </w:r>
      <w:r w:rsidR="00064BC1">
        <w:rPr>
          <w:rFonts w:ascii="Arial" w:hAnsi="Arial" w:cs="Arial"/>
        </w:rPr>
        <w:t xml:space="preserve"> which </w:t>
      </w:r>
      <w:r w:rsidR="00E02CA3">
        <w:rPr>
          <w:rFonts w:ascii="Arial" w:hAnsi="Arial" w:cs="Arial"/>
        </w:rPr>
        <w:t xml:space="preserve">exceeded </w:t>
      </w:r>
      <w:r w:rsidR="00064BC1">
        <w:rPr>
          <w:rFonts w:ascii="Arial" w:hAnsi="Arial" w:cs="Arial"/>
        </w:rPr>
        <w:t xml:space="preserve">the </w:t>
      </w:r>
      <w:r w:rsidR="00E02CA3">
        <w:rPr>
          <w:rFonts w:ascii="Arial" w:hAnsi="Arial" w:cs="Arial"/>
        </w:rPr>
        <w:t xml:space="preserve">25 day </w:t>
      </w:r>
      <w:r w:rsidR="00064BC1">
        <w:rPr>
          <w:rFonts w:ascii="Arial" w:hAnsi="Arial" w:cs="Arial"/>
        </w:rPr>
        <w:t xml:space="preserve">timeframe.  </w:t>
      </w:r>
      <w:r w:rsidR="00E02CA3">
        <w:rPr>
          <w:rFonts w:ascii="Arial" w:hAnsi="Arial" w:cs="Arial"/>
        </w:rPr>
        <w:t xml:space="preserve">Investigators have been trained </w:t>
      </w:r>
      <w:r w:rsidR="00064BC1">
        <w:rPr>
          <w:rFonts w:ascii="Arial" w:hAnsi="Arial" w:cs="Arial"/>
        </w:rPr>
        <w:t xml:space="preserve">on the process to </w:t>
      </w:r>
      <w:r w:rsidR="00E02CA3">
        <w:rPr>
          <w:rFonts w:ascii="Arial" w:hAnsi="Arial" w:cs="Arial"/>
        </w:rPr>
        <w:t xml:space="preserve">support with minimising </w:t>
      </w:r>
      <w:r w:rsidR="00064BC1">
        <w:rPr>
          <w:rFonts w:ascii="Arial" w:hAnsi="Arial" w:cs="Arial"/>
        </w:rPr>
        <w:t>delays.</w:t>
      </w:r>
    </w:p>
    <w:p w14:paraId="7DF200A9" w14:textId="77777777" w:rsidR="004540A7" w:rsidRPr="002D1C7E" w:rsidRDefault="004540A7" w:rsidP="004540A7">
      <w:pPr>
        <w:spacing w:after="0"/>
        <w:jc w:val="both"/>
        <w:rPr>
          <w:rFonts w:cs="Arial"/>
          <w:noProof/>
          <w:lang w:eastAsia="en-GB"/>
        </w:rPr>
      </w:pPr>
    </w:p>
    <w:p w14:paraId="481047D5" w14:textId="77777777" w:rsidR="004540A7" w:rsidRPr="002D1C7E" w:rsidRDefault="004540A7" w:rsidP="004540A7">
      <w:pPr>
        <w:spacing w:after="0"/>
        <w:rPr>
          <w:rFonts w:cs="Arial"/>
        </w:rPr>
      </w:pPr>
      <w:r w:rsidRPr="002D1C7E">
        <w:rPr>
          <w:rFonts w:cs="Arial"/>
          <w:noProof/>
          <w:lang w:eastAsia="en-GB"/>
        </w:rPr>
        <w:drawing>
          <wp:inline distT="0" distB="0" distL="0" distR="0" wp14:anchorId="6FBA4017" wp14:editId="1E3D5A7B">
            <wp:extent cx="6410325" cy="332422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3A09AB5" w14:textId="77777777" w:rsidR="004540A7" w:rsidRPr="002D1C7E" w:rsidRDefault="004540A7" w:rsidP="004540A7">
      <w:pPr>
        <w:spacing w:after="0"/>
        <w:jc w:val="both"/>
        <w:rPr>
          <w:rFonts w:cs="Arial"/>
        </w:rPr>
      </w:pPr>
    </w:p>
    <w:p w14:paraId="335BF3E9" w14:textId="6C008885" w:rsidR="004540A7" w:rsidRPr="004B328D" w:rsidRDefault="004540A7" w:rsidP="004540A7">
      <w:pPr>
        <w:spacing w:after="0"/>
        <w:jc w:val="both"/>
        <w:rPr>
          <w:rFonts w:cs="Arial"/>
          <w:b/>
          <w:sz w:val="22"/>
        </w:rPr>
      </w:pPr>
      <w:r w:rsidRPr="004B328D">
        <w:rPr>
          <w:rFonts w:cs="Arial"/>
          <w:b/>
          <w:sz w:val="22"/>
        </w:rPr>
        <w:t>Divisional performance with responding to complaints:</w:t>
      </w:r>
    </w:p>
    <w:p w14:paraId="6B825A30" w14:textId="77777777" w:rsidR="00064BC1" w:rsidRPr="00064BC1" w:rsidRDefault="00064BC1" w:rsidP="004540A7">
      <w:pPr>
        <w:spacing w:after="0"/>
        <w:jc w:val="both"/>
        <w:rPr>
          <w:rFonts w:cs="Arial"/>
          <w:sz w:val="22"/>
        </w:rPr>
      </w:pPr>
    </w:p>
    <w:tbl>
      <w:tblPr>
        <w:tblW w:w="11625" w:type="dxa"/>
        <w:tblInd w:w="-998" w:type="dxa"/>
        <w:tblLayout w:type="fixed"/>
        <w:tblLook w:val="04A0" w:firstRow="1" w:lastRow="0" w:firstColumn="1" w:lastColumn="0" w:noHBand="0" w:noVBand="1"/>
      </w:tblPr>
      <w:tblGrid>
        <w:gridCol w:w="851"/>
        <w:gridCol w:w="851"/>
        <w:gridCol w:w="851"/>
        <w:gridCol w:w="850"/>
        <w:gridCol w:w="851"/>
        <w:gridCol w:w="850"/>
        <w:gridCol w:w="851"/>
        <w:gridCol w:w="850"/>
        <w:gridCol w:w="851"/>
        <w:gridCol w:w="850"/>
        <w:gridCol w:w="851"/>
        <w:gridCol w:w="850"/>
        <w:gridCol w:w="709"/>
        <w:gridCol w:w="709"/>
      </w:tblGrid>
      <w:tr w:rsidR="00E718E2" w:rsidRPr="00064BC1" w14:paraId="02CD155A" w14:textId="32BC6099" w:rsidTr="00E718E2">
        <w:trPr>
          <w:trHeight w:val="300"/>
        </w:trPr>
        <w:tc>
          <w:tcPr>
            <w:tcW w:w="851" w:type="dxa"/>
            <w:tcBorders>
              <w:top w:val="single" w:sz="4" w:space="0" w:color="auto"/>
              <w:left w:val="single" w:sz="4" w:space="0" w:color="auto"/>
              <w:bottom w:val="single" w:sz="4" w:space="0" w:color="auto"/>
              <w:right w:val="single" w:sz="4" w:space="0" w:color="auto"/>
            </w:tcBorders>
            <w:shd w:val="clear" w:color="000000" w:fill="8DB3E2"/>
            <w:vAlign w:val="center"/>
            <w:hideMark/>
          </w:tcPr>
          <w:p w14:paraId="63665C13" w14:textId="77777777" w:rsidR="006C3F1F" w:rsidRPr="00E718E2" w:rsidRDefault="006C3F1F" w:rsidP="00064BC1">
            <w:pPr>
              <w:spacing w:after="0"/>
              <w:rPr>
                <w:rFonts w:eastAsia="Times New Roman" w:cs="Arial"/>
                <w:b/>
                <w:bCs/>
                <w:color w:val="000000"/>
                <w:sz w:val="18"/>
                <w:szCs w:val="18"/>
                <w:lang w:eastAsia="en-GB"/>
              </w:rPr>
            </w:pPr>
            <w:r w:rsidRPr="00E718E2">
              <w:rPr>
                <w:rFonts w:eastAsia="Times New Roman" w:cs="Arial"/>
                <w:b/>
                <w:bCs/>
                <w:color w:val="000000"/>
                <w:sz w:val="18"/>
                <w:szCs w:val="18"/>
                <w:lang w:eastAsia="en-GB"/>
              </w:rPr>
              <w:t> </w:t>
            </w:r>
          </w:p>
        </w:tc>
        <w:tc>
          <w:tcPr>
            <w:tcW w:w="851" w:type="dxa"/>
            <w:tcBorders>
              <w:top w:val="single" w:sz="4" w:space="0" w:color="auto"/>
              <w:left w:val="nil"/>
              <w:bottom w:val="single" w:sz="4" w:space="0" w:color="auto"/>
              <w:right w:val="single" w:sz="4" w:space="0" w:color="auto"/>
            </w:tcBorders>
            <w:shd w:val="clear" w:color="000000" w:fill="8DB3E2"/>
            <w:vAlign w:val="center"/>
            <w:hideMark/>
          </w:tcPr>
          <w:p w14:paraId="68E72FBF" w14:textId="21ECB8A2" w:rsidR="006C3F1F" w:rsidRPr="00E718E2" w:rsidRDefault="006C3F1F" w:rsidP="00064BC1">
            <w:pPr>
              <w:spacing w:after="0"/>
              <w:rPr>
                <w:rFonts w:eastAsia="Times New Roman" w:cs="Arial"/>
                <w:b/>
                <w:bCs/>
                <w:color w:val="000000"/>
                <w:sz w:val="18"/>
                <w:szCs w:val="18"/>
                <w:lang w:eastAsia="en-GB"/>
              </w:rPr>
            </w:pPr>
            <w:r w:rsidRPr="00E718E2">
              <w:rPr>
                <w:rFonts w:eastAsia="Times New Roman" w:cs="Arial"/>
                <w:b/>
                <w:bCs/>
                <w:color w:val="000000"/>
                <w:sz w:val="18"/>
                <w:szCs w:val="18"/>
                <w:lang w:eastAsia="en-GB"/>
              </w:rPr>
              <w:t>A</w:t>
            </w:r>
            <w:r w:rsidR="00E718E2" w:rsidRPr="00E718E2">
              <w:rPr>
                <w:rFonts w:eastAsia="Times New Roman" w:cs="Arial"/>
                <w:b/>
                <w:bCs/>
                <w:color w:val="000000"/>
                <w:sz w:val="18"/>
                <w:szCs w:val="18"/>
                <w:lang w:eastAsia="en-GB"/>
              </w:rPr>
              <w:t>PR</w:t>
            </w:r>
          </w:p>
        </w:tc>
        <w:tc>
          <w:tcPr>
            <w:tcW w:w="851" w:type="dxa"/>
            <w:tcBorders>
              <w:top w:val="single" w:sz="4" w:space="0" w:color="auto"/>
              <w:left w:val="nil"/>
              <w:bottom w:val="single" w:sz="4" w:space="0" w:color="auto"/>
              <w:right w:val="single" w:sz="4" w:space="0" w:color="auto"/>
            </w:tcBorders>
            <w:shd w:val="clear" w:color="000000" w:fill="8DB3E2"/>
            <w:vAlign w:val="center"/>
            <w:hideMark/>
          </w:tcPr>
          <w:p w14:paraId="081FB358" w14:textId="3D9EA727" w:rsidR="006C3F1F" w:rsidRPr="00E718E2" w:rsidRDefault="00E718E2" w:rsidP="00064BC1">
            <w:pPr>
              <w:spacing w:after="0"/>
              <w:rPr>
                <w:rFonts w:eastAsia="Times New Roman" w:cs="Arial"/>
                <w:b/>
                <w:bCs/>
                <w:color w:val="000000"/>
                <w:sz w:val="18"/>
                <w:szCs w:val="18"/>
                <w:lang w:eastAsia="en-GB"/>
              </w:rPr>
            </w:pPr>
            <w:r w:rsidRPr="00E718E2">
              <w:rPr>
                <w:rFonts w:eastAsia="Times New Roman" w:cs="Arial"/>
                <w:b/>
                <w:bCs/>
                <w:color w:val="000000"/>
                <w:sz w:val="18"/>
                <w:szCs w:val="18"/>
                <w:lang w:eastAsia="en-GB"/>
              </w:rPr>
              <w:t>MAY</w:t>
            </w:r>
          </w:p>
        </w:tc>
        <w:tc>
          <w:tcPr>
            <w:tcW w:w="850" w:type="dxa"/>
            <w:tcBorders>
              <w:top w:val="single" w:sz="4" w:space="0" w:color="auto"/>
              <w:left w:val="nil"/>
              <w:bottom w:val="single" w:sz="4" w:space="0" w:color="auto"/>
              <w:right w:val="single" w:sz="4" w:space="0" w:color="auto"/>
            </w:tcBorders>
            <w:shd w:val="clear" w:color="000000" w:fill="8DB3E2"/>
            <w:vAlign w:val="center"/>
            <w:hideMark/>
          </w:tcPr>
          <w:p w14:paraId="432FDB3C" w14:textId="503C456C" w:rsidR="006C3F1F" w:rsidRPr="00E718E2" w:rsidRDefault="00E718E2" w:rsidP="00064BC1">
            <w:pPr>
              <w:spacing w:after="0"/>
              <w:rPr>
                <w:rFonts w:eastAsia="Times New Roman" w:cs="Arial"/>
                <w:b/>
                <w:bCs/>
                <w:color w:val="000000"/>
                <w:sz w:val="18"/>
                <w:szCs w:val="18"/>
                <w:lang w:eastAsia="en-GB"/>
              </w:rPr>
            </w:pPr>
            <w:r w:rsidRPr="00E718E2">
              <w:rPr>
                <w:rFonts w:eastAsia="Times New Roman" w:cs="Arial"/>
                <w:b/>
                <w:bCs/>
                <w:color w:val="000000"/>
                <w:sz w:val="18"/>
                <w:szCs w:val="18"/>
                <w:lang w:eastAsia="en-GB"/>
              </w:rPr>
              <w:t>JUN</w:t>
            </w:r>
          </w:p>
        </w:tc>
        <w:tc>
          <w:tcPr>
            <w:tcW w:w="851" w:type="dxa"/>
            <w:tcBorders>
              <w:top w:val="single" w:sz="4" w:space="0" w:color="auto"/>
              <w:left w:val="nil"/>
              <w:bottom w:val="single" w:sz="4" w:space="0" w:color="auto"/>
              <w:right w:val="single" w:sz="4" w:space="0" w:color="auto"/>
            </w:tcBorders>
            <w:shd w:val="clear" w:color="000000" w:fill="8DB3E2"/>
            <w:vAlign w:val="center"/>
            <w:hideMark/>
          </w:tcPr>
          <w:p w14:paraId="1DFA6357" w14:textId="2A1FA49B" w:rsidR="006C3F1F" w:rsidRPr="00E718E2" w:rsidRDefault="00E718E2" w:rsidP="00064BC1">
            <w:pPr>
              <w:spacing w:after="0"/>
              <w:rPr>
                <w:rFonts w:eastAsia="Times New Roman" w:cs="Arial"/>
                <w:b/>
                <w:bCs/>
                <w:color w:val="000000"/>
                <w:sz w:val="18"/>
                <w:szCs w:val="18"/>
                <w:lang w:eastAsia="en-GB"/>
              </w:rPr>
            </w:pPr>
            <w:r w:rsidRPr="00E718E2">
              <w:rPr>
                <w:rFonts w:eastAsia="Times New Roman" w:cs="Arial"/>
                <w:b/>
                <w:bCs/>
                <w:color w:val="000000"/>
                <w:sz w:val="18"/>
                <w:szCs w:val="18"/>
                <w:lang w:eastAsia="en-GB"/>
              </w:rPr>
              <w:t>JUL</w:t>
            </w:r>
          </w:p>
        </w:tc>
        <w:tc>
          <w:tcPr>
            <w:tcW w:w="850" w:type="dxa"/>
            <w:tcBorders>
              <w:top w:val="single" w:sz="4" w:space="0" w:color="auto"/>
              <w:left w:val="nil"/>
              <w:bottom w:val="single" w:sz="4" w:space="0" w:color="auto"/>
              <w:right w:val="single" w:sz="4" w:space="0" w:color="auto"/>
            </w:tcBorders>
            <w:shd w:val="clear" w:color="000000" w:fill="8DB3E2"/>
            <w:vAlign w:val="center"/>
            <w:hideMark/>
          </w:tcPr>
          <w:p w14:paraId="29C1D294" w14:textId="5ABFB297" w:rsidR="006C3F1F" w:rsidRPr="00E718E2" w:rsidRDefault="00E718E2" w:rsidP="00064BC1">
            <w:pPr>
              <w:spacing w:after="0"/>
              <w:rPr>
                <w:rFonts w:eastAsia="Times New Roman" w:cs="Arial"/>
                <w:b/>
                <w:bCs/>
                <w:color w:val="000000"/>
                <w:sz w:val="18"/>
                <w:szCs w:val="18"/>
                <w:lang w:eastAsia="en-GB"/>
              </w:rPr>
            </w:pPr>
            <w:r w:rsidRPr="00E718E2">
              <w:rPr>
                <w:rFonts w:eastAsia="Times New Roman" w:cs="Arial"/>
                <w:b/>
                <w:bCs/>
                <w:color w:val="000000"/>
                <w:sz w:val="18"/>
                <w:szCs w:val="18"/>
                <w:lang w:eastAsia="en-GB"/>
              </w:rPr>
              <w:t>AUG</w:t>
            </w:r>
          </w:p>
        </w:tc>
        <w:tc>
          <w:tcPr>
            <w:tcW w:w="851" w:type="dxa"/>
            <w:tcBorders>
              <w:top w:val="single" w:sz="4" w:space="0" w:color="auto"/>
              <w:left w:val="nil"/>
              <w:bottom w:val="single" w:sz="4" w:space="0" w:color="auto"/>
              <w:right w:val="single" w:sz="4" w:space="0" w:color="auto"/>
            </w:tcBorders>
            <w:shd w:val="clear" w:color="000000" w:fill="8DB3E2"/>
            <w:vAlign w:val="center"/>
            <w:hideMark/>
          </w:tcPr>
          <w:p w14:paraId="0BB846AB" w14:textId="296A68D9" w:rsidR="006C3F1F" w:rsidRPr="00E718E2" w:rsidRDefault="00E718E2" w:rsidP="00064BC1">
            <w:pPr>
              <w:spacing w:after="0"/>
              <w:rPr>
                <w:rFonts w:eastAsia="Times New Roman" w:cs="Arial"/>
                <w:b/>
                <w:bCs/>
                <w:color w:val="000000"/>
                <w:sz w:val="18"/>
                <w:szCs w:val="18"/>
                <w:lang w:eastAsia="en-GB"/>
              </w:rPr>
            </w:pPr>
            <w:r w:rsidRPr="00E718E2">
              <w:rPr>
                <w:rFonts w:eastAsia="Times New Roman" w:cs="Arial"/>
                <w:b/>
                <w:bCs/>
                <w:color w:val="000000"/>
                <w:sz w:val="18"/>
                <w:szCs w:val="18"/>
                <w:lang w:eastAsia="en-GB"/>
              </w:rPr>
              <w:t>SEP</w:t>
            </w:r>
          </w:p>
        </w:tc>
        <w:tc>
          <w:tcPr>
            <w:tcW w:w="850" w:type="dxa"/>
            <w:tcBorders>
              <w:top w:val="single" w:sz="4" w:space="0" w:color="auto"/>
              <w:left w:val="nil"/>
              <w:bottom w:val="single" w:sz="4" w:space="0" w:color="auto"/>
              <w:right w:val="single" w:sz="4" w:space="0" w:color="auto"/>
            </w:tcBorders>
            <w:shd w:val="clear" w:color="000000" w:fill="8DB3E2"/>
            <w:vAlign w:val="center"/>
            <w:hideMark/>
          </w:tcPr>
          <w:p w14:paraId="377BCBDD" w14:textId="34E678AA" w:rsidR="006C3F1F" w:rsidRPr="00E718E2" w:rsidRDefault="00E718E2" w:rsidP="00064BC1">
            <w:pPr>
              <w:spacing w:after="0"/>
              <w:rPr>
                <w:rFonts w:eastAsia="Times New Roman" w:cs="Arial"/>
                <w:b/>
                <w:bCs/>
                <w:color w:val="000000"/>
                <w:sz w:val="18"/>
                <w:szCs w:val="18"/>
                <w:lang w:eastAsia="en-GB"/>
              </w:rPr>
            </w:pPr>
            <w:r w:rsidRPr="00E718E2">
              <w:rPr>
                <w:rFonts w:eastAsia="Times New Roman" w:cs="Arial"/>
                <w:b/>
                <w:bCs/>
                <w:color w:val="000000"/>
                <w:sz w:val="18"/>
                <w:szCs w:val="18"/>
                <w:lang w:eastAsia="en-GB"/>
              </w:rPr>
              <w:t>OCT</w:t>
            </w:r>
          </w:p>
        </w:tc>
        <w:tc>
          <w:tcPr>
            <w:tcW w:w="851" w:type="dxa"/>
            <w:tcBorders>
              <w:top w:val="single" w:sz="4" w:space="0" w:color="auto"/>
              <w:left w:val="nil"/>
              <w:bottom w:val="single" w:sz="4" w:space="0" w:color="auto"/>
              <w:right w:val="single" w:sz="4" w:space="0" w:color="auto"/>
            </w:tcBorders>
            <w:shd w:val="clear" w:color="000000" w:fill="8DB3E2"/>
            <w:vAlign w:val="center"/>
            <w:hideMark/>
          </w:tcPr>
          <w:p w14:paraId="2348AA8A" w14:textId="6A1E00E8" w:rsidR="006C3F1F" w:rsidRPr="00E718E2" w:rsidRDefault="00E718E2" w:rsidP="00064BC1">
            <w:pPr>
              <w:spacing w:after="0"/>
              <w:rPr>
                <w:rFonts w:eastAsia="Times New Roman" w:cs="Arial"/>
                <w:b/>
                <w:bCs/>
                <w:color w:val="000000"/>
                <w:sz w:val="18"/>
                <w:szCs w:val="18"/>
                <w:lang w:eastAsia="en-GB"/>
              </w:rPr>
            </w:pPr>
            <w:r w:rsidRPr="00E718E2">
              <w:rPr>
                <w:rFonts w:eastAsia="Times New Roman" w:cs="Arial"/>
                <w:b/>
                <w:bCs/>
                <w:color w:val="000000"/>
                <w:sz w:val="18"/>
                <w:szCs w:val="18"/>
                <w:lang w:eastAsia="en-GB"/>
              </w:rPr>
              <w:t>NOV</w:t>
            </w:r>
          </w:p>
        </w:tc>
        <w:tc>
          <w:tcPr>
            <w:tcW w:w="850" w:type="dxa"/>
            <w:tcBorders>
              <w:top w:val="single" w:sz="4" w:space="0" w:color="auto"/>
              <w:left w:val="nil"/>
              <w:bottom w:val="single" w:sz="4" w:space="0" w:color="auto"/>
              <w:right w:val="single" w:sz="4" w:space="0" w:color="auto"/>
            </w:tcBorders>
            <w:shd w:val="clear" w:color="000000" w:fill="8DB3E2"/>
            <w:vAlign w:val="center"/>
            <w:hideMark/>
          </w:tcPr>
          <w:p w14:paraId="35C32E06" w14:textId="5D50D8AB" w:rsidR="006C3F1F" w:rsidRPr="00E718E2" w:rsidRDefault="00E718E2" w:rsidP="00064BC1">
            <w:pPr>
              <w:spacing w:after="0"/>
              <w:rPr>
                <w:rFonts w:eastAsia="Times New Roman" w:cs="Arial"/>
                <w:b/>
                <w:bCs/>
                <w:color w:val="000000"/>
                <w:sz w:val="18"/>
                <w:szCs w:val="18"/>
                <w:lang w:eastAsia="en-GB"/>
              </w:rPr>
            </w:pPr>
            <w:r w:rsidRPr="00E718E2">
              <w:rPr>
                <w:rFonts w:eastAsia="Times New Roman" w:cs="Arial"/>
                <w:b/>
                <w:bCs/>
                <w:color w:val="000000"/>
                <w:sz w:val="18"/>
                <w:szCs w:val="18"/>
                <w:lang w:eastAsia="en-GB"/>
              </w:rPr>
              <w:t>DEC</w:t>
            </w:r>
          </w:p>
        </w:tc>
        <w:tc>
          <w:tcPr>
            <w:tcW w:w="851" w:type="dxa"/>
            <w:tcBorders>
              <w:top w:val="single" w:sz="4" w:space="0" w:color="auto"/>
              <w:left w:val="nil"/>
              <w:bottom w:val="single" w:sz="4" w:space="0" w:color="auto"/>
              <w:right w:val="single" w:sz="4" w:space="0" w:color="auto"/>
            </w:tcBorders>
            <w:shd w:val="clear" w:color="000000" w:fill="8DB3E2"/>
            <w:vAlign w:val="center"/>
            <w:hideMark/>
          </w:tcPr>
          <w:p w14:paraId="1BC9775F" w14:textId="417919E6" w:rsidR="006C3F1F" w:rsidRPr="00E718E2" w:rsidRDefault="00E718E2" w:rsidP="00064BC1">
            <w:pPr>
              <w:spacing w:after="0"/>
              <w:rPr>
                <w:rFonts w:eastAsia="Times New Roman" w:cs="Arial"/>
                <w:b/>
                <w:bCs/>
                <w:color w:val="000000"/>
                <w:sz w:val="18"/>
                <w:szCs w:val="18"/>
                <w:lang w:eastAsia="en-GB"/>
              </w:rPr>
            </w:pPr>
            <w:r w:rsidRPr="00E718E2">
              <w:rPr>
                <w:rFonts w:eastAsia="Times New Roman" w:cs="Arial"/>
                <w:b/>
                <w:bCs/>
                <w:color w:val="000000"/>
                <w:sz w:val="18"/>
                <w:szCs w:val="18"/>
                <w:lang w:eastAsia="en-GB"/>
              </w:rPr>
              <w:t>JAN</w:t>
            </w:r>
          </w:p>
        </w:tc>
        <w:tc>
          <w:tcPr>
            <w:tcW w:w="850" w:type="dxa"/>
            <w:tcBorders>
              <w:top w:val="single" w:sz="4" w:space="0" w:color="auto"/>
              <w:left w:val="nil"/>
              <w:bottom w:val="single" w:sz="4" w:space="0" w:color="auto"/>
              <w:right w:val="single" w:sz="4" w:space="0" w:color="auto"/>
            </w:tcBorders>
            <w:shd w:val="clear" w:color="000000" w:fill="8DB3E2"/>
            <w:vAlign w:val="center"/>
            <w:hideMark/>
          </w:tcPr>
          <w:p w14:paraId="1AF52D2A" w14:textId="66B0E5AA" w:rsidR="006C3F1F" w:rsidRPr="00E718E2" w:rsidRDefault="00E718E2" w:rsidP="00064BC1">
            <w:pPr>
              <w:spacing w:after="0"/>
              <w:rPr>
                <w:rFonts w:eastAsia="Times New Roman" w:cs="Arial"/>
                <w:b/>
                <w:bCs/>
                <w:color w:val="000000"/>
                <w:sz w:val="18"/>
                <w:szCs w:val="18"/>
                <w:lang w:eastAsia="en-GB"/>
              </w:rPr>
            </w:pPr>
            <w:r w:rsidRPr="00E718E2">
              <w:rPr>
                <w:rFonts w:eastAsia="Times New Roman" w:cs="Arial"/>
                <w:b/>
                <w:bCs/>
                <w:color w:val="000000"/>
                <w:sz w:val="18"/>
                <w:szCs w:val="18"/>
                <w:lang w:eastAsia="en-GB"/>
              </w:rPr>
              <w:t>FEB</w:t>
            </w:r>
          </w:p>
        </w:tc>
        <w:tc>
          <w:tcPr>
            <w:tcW w:w="709" w:type="dxa"/>
            <w:tcBorders>
              <w:top w:val="single" w:sz="4" w:space="0" w:color="auto"/>
              <w:left w:val="nil"/>
              <w:bottom w:val="single" w:sz="4" w:space="0" w:color="auto"/>
              <w:right w:val="single" w:sz="4" w:space="0" w:color="auto"/>
            </w:tcBorders>
            <w:shd w:val="clear" w:color="000000" w:fill="8DB3E2"/>
            <w:vAlign w:val="center"/>
            <w:hideMark/>
          </w:tcPr>
          <w:p w14:paraId="4AD259D5" w14:textId="4BEF89CD" w:rsidR="006C3F1F" w:rsidRPr="00E718E2" w:rsidRDefault="00E718E2" w:rsidP="00064BC1">
            <w:pPr>
              <w:spacing w:after="0"/>
              <w:rPr>
                <w:rFonts w:eastAsia="Times New Roman" w:cs="Arial"/>
                <w:b/>
                <w:bCs/>
                <w:color w:val="000000"/>
                <w:sz w:val="18"/>
                <w:szCs w:val="18"/>
                <w:lang w:eastAsia="en-GB"/>
              </w:rPr>
            </w:pPr>
            <w:r w:rsidRPr="00E718E2">
              <w:rPr>
                <w:rFonts w:eastAsia="Times New Roman" w:cs="Arial"/>
                <w:b/>
                <w:bCs/>
                <w:color w:val="000000"/>
                <w:sz w:val="18"/>
                <w:szCs w:val="18"/>
                <w:lang w:eastAsia="en-GB"/>
              </w:rPr>
              <w:t>MAR</w:t>
            </w:r>
          </w:p>
        </w:tc>
        <w:tc>
          <w:tcPr>
            <w:tcW w:w="709" w:type="dxa"/>
            <w:tcBorders>
              <w:top w:val="single" w:sz="4" w:space="0" w:color="auto"/>
              <w:left w:val="nil"/>
              <w:bottom w:val="single" w:sz="4" w:space="0" w:color="auto"/>
              <w:right w:val="single" w:sz="4" w:space="0" w:color="auto"/>
            </w:tcBorders>
            <w:shd w:val="clear" w:color="000000" w:fill="8DB3E2"/>
            <w:vAlign w:val="bottom"/>
          </w:tcPr>
          <w:p w14:paraId="7FD2A88B" w14:textId="6ED5DA32" w:rsidR="006C3F1F" w:rsidRPr="00E718E2" w:rsidRDefault="00E718E2" w:rsidP="006C3F1F">
            <w:pPr>
              <w:spacing w:after="0"/>
              <w:jc w:val="center"/>
              <w:rPr>
                <w:rFonts w:eastAsia="Times New Roman" w:cs="Arial"/>
                <w:b/>
                <w:bCs/>
                <w:color w:val="000000"/>
                <w:sz w:val="18"/>
                <w:szCs w:val="18"/>
                <w:lang w:eastAsia="en-GB"/>
              </w:rPr>
            </w:pPr>
            <w:r w:rsidRPr="00E718E2">
              <w:rPr>
                <w:rFonts w:eastAsia="Times New Roman" w:cs="Arial"/>
                <w:b/>
                <w:bCs/>
                <w:color w:val="000000"/>
                <w:sz w:val="18"/>
                <w:szCs w:val="18"/>
                <w:lang w:eastAsia="en-GB"/>
              </w:rPr>
              <w:t>Annual %</w:t>
            </w:r>
          </w:p>
        </w:tc>
      </w:tr>
      <w:tr w:rsidR="00E718E2" w:rsidRPr="00064BC1" w14:paraId="1FA9DF2B" w14:textId="4F98C9F7" w:rsidTr="00E718E2">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0B8D06D" w14:textId="77777777" w:rsidR="006C3F1F" w:rsidRPr="00E718E2" w:rsidRDefault="006C3F1F" w:rsidP="00064BC1">
            <w:pPr>
              <w:spacing w:after="0"/>
              <w:rPr>
                <w:rFonts w:eastAsia="Times New Roman" w:cs="Arial"/>
                <w:b/>
                <w:color w:val="000000"/>
                <w:sz w:val="18"/>
                <w:szCs w:val="18"/>
                <w:lang w:eastAsia="en-GB"/>
              </w:rPr>
            </w:pPr>
            <w:r w:rsidRPr="00E718E2">
              <w:rPr>
                <w:rFonts w:eastAsia="Times New Roman" w:cs="Arial"/>
                <w:b/>
                <w:color w:val="000000"/>
                <w:sz w:val="18"/>
                <w:szCs w:val="18"/>
                <w:lang w:eastAsia="en-GB"/>
              </w:rPr>
              <w:t>EIC</w:t>
            </w:r>
          </w:p>
        </w:tc>
        <w:tc>
          <w:tcPr>
            <w:tcW w:w="851" w:type="dxa"/>
            <w:tcBorders>
              <w:top w:val="nil"/>
              <w:left w:val="nil"/>
              <w:bottom w:val="single" w:sz="4" w:space="0" w:color="auto"/>
              <w:right w:val="single" w:sz="4" w:space="0" w:color="auto"/>
            </w:tcBorders>
            <w:shd w:val="clear" w:color="auto" w:fill="auto"/>
            <w:noWrap/>
            <w:vAlign w:val="bottom"/>
            <w:hideMark/>
          </w:tcPr>
          <w:p w14:paraId="1D2097F4" w14:textId="77777777" w:rsidR="006C3F1F" w:rsidRPr="00E718E2" w:rsidRDefault="006C3F1F" w:rsidP="00064BC1">
            <w:pPr>
              <w:spacing w:after="0"/>
              <w:rPr>
                <w:rFonts w:eastAsia="Times New Roman" w:cs="Arial"/>
                <w:color w:val="FF0000"/>
                <w:sz w:val="18"/>
                <w:szCs w:val="18"/>
                <w:lang w:eastAsia="en-GB"/>
              </w:rPr>
            </w:pPr>
            <w:r w:rsidRPr="00E718E2">
              <w:rPr>
                <w:rFonts w:eastAsia="Times New Roman" w:cs="Arial"/>
                <w:color w:val="FF0000"/>
                <w:sz w:val="18"/>
                <w:szCs w:val="18"/>
                <w:lang w:eastAsia="en-GB"/>
              </w:rPr>
              <w:t>76%</w:t>
            </w:r>
          </w:p>
        </w:tc>
        <w:tc>
          <w:tcPr>
            <w:tcW w:w="851" w:type="dxa"/>
            <w:tcBorders>
              <w:top w:val="nil"/>
              <w:left w:val="nil"/>
              <w:bottom w:val="single" w:sz="4" w:space="0" w:color="auto"/>
              <w:right w:val="single" w:sz="4" w:space="0" w:color="auto"/>
            </w:tcBorders>
            <w:shd w:val="clear" w:color="auto" w:fill="auto"/>
            <w:noWrap/>
            <w:vAlign w:val="bottom"/>
            <w:hideMark/>
          </w:tcPr>
          <w:p w14:paraId="06723885" w14:textId="77777777" w:rsidR="006C3F1F" w:rsidRPr="00E718E2" w:rsidRDefault="006C3F1F" w:rsidP="00064BC1">
            <w:pPr>
              <w:spacing w:after="0"/>
              <w:rPr>
                <w:rFonts w:eastAsia="Times New Roman" w:cs="Arial"/>
                <w:color w:val="FF0000"/>
                <w:sz w:val="18"/>
                <w:szCs w:val="18"/>
                <w:lang w:eastAsia="en-GB"/>
              </w:rPr>
            </w:pPr>
            <w:r w:rsidRPr="00E718E2">
              <w:rPr>
                <w:rFonts w:eastAsia="Times New Roman" w:cs="Arial"/>
                <w:color w:val="FF0000"/>
                <w:sz w:val="18"/>
                <w:szCs w:val="18"/>
                <w:lang w:eastAsia="en-GB"/>
              </w:rPr>
              <w:t>86%</w:t>
            </w:r>
          </w:p>
        </w:tc>
        <w:tc>
          <w:tcPr>
            <w:tcW w:w="850" w:type="dxa"/>
            <w:tcBorders>
              <w:top w:val="nil"/>
              <w:left w:val="nil"/>
              <w:bottom w:val="single" w:sz="4" w:space="0" w:color="auto"/>
              <w:right w:val="single" w:sz="4" w:space="0" w:color="auto"/>
            </w:tcBorders>
            <w:shd w:val="clear" w:color="auto" w:fill="auto"/>
            <w:noWrap/>
            <w:vAlign w:val="bottom"/>
            <w:hideMark/>
          </w:tcPr>
          <w:p w14:paraId="66EF07BA"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1" w:type="dxa"/>
            <w:tcBorders>
              <w:top w:val="nil"/>
              <w:left w:val="nil"/>
              <w:bottom w:val="single" w:sz="4" w:space="0" w:color="auto"/>
              <w:right w:val="single" w:sz="4" w:space="0" w:color="auto"/>
            </w:tcBorders>
            <w:shd w:val="clear" w:color="auto" w:fill="auto"/>
            <w:noWrap/>
            <w:vAlign w:val="bottom"/>
            <w:hideMark/>
          </w:tcPr>
          <w:p w14:paraId="7B085A5C" w14:textId="77777777" w:rsidR="006C3F1F" w:rsidRPr="00E718E2" w:rsidRDefault="006C3F1F" w:rsidP="00064BC1">
            <w:pPr>
              <w:spacing w:after="0"/>
              <w:rPr>
                <w:rFonts w:eastAsia="Times New Roman" w:cs="Arial"/>
                <w:color w:val="FF0000"/>
                <w:sz w:val="18"/>
                <w:szCs w:val="18"/>
                <w:lang w:eastAsia="en-GB"/>
              </w:rPr>
            </w:pPr>
            <w:r w:rsidRPr="00E718E2">
              <w:rPr>
                <w:rFonts w:eastAsia="Times New Roman" w:cs="Arial"/>
                <w:color w:val="FF0000"/>
                <w:sz w:val="18"/>
                <w:szCs w:val="18"/>
                <w:lang w:eastAsia="en-GB"/>
              </w:rPr>
              <w:t>90%</w:t>
            </w:r>
          </w:p>
        </w:tc>
        <w:tc>
          <w:tcPr>
            <w:tcW w:w="850" w:type="dxa"/>
            <w:tcBorders>
              <w:top w:val="nil"/>
              <w:left w:val="nil"/>
              <w:bottom w:val="single" w:sz="4" w:space="0" w:color="auto"/>
              <w:right w:val="single" w:sz="4" w:space="0" w:color="auto"/>
            </w:tcBorders>
            <w:shd w:val="clear" w:color="auto" w:fill="auto"/>
            <w:noWrap/>
            <w:vAlign w:val="bottom"/>
            <w:hideMark/>
          </w:tcPr>
          <w:p w14:paraId="0A7F7BED" w14:textId="77777777" w:rsidR="006C3F1F" w:rsidRPr="00E718E2" w:rsidRDefault="006C3F1F" w:rsidP="00064BC1">
            <w:pPr>
              <w:spacing w:after="0"/>
              <w:rPr>
                <w:rFonts w:eastAsia="Times New Roman" w:cs="Arial"/>
                <w:color w:val="FF0000"/>
                <w:sz w:val="18"/>
                <w:szCs w:val="18"/>
                <w:lang w:eastAsia="en-GB"/>
              </w:rPr>
            </w:pPr>
            <w:r w:rsidRPr="00E718E2">
              <w:rPr>
                <w:rFonts w:eastAsia="Times New Roman" w:cs="Arial"/>
                <w:color w:val="FF0000"/>
                <w:sz w:val="18"/>
                <w:szCs w:val="18"/>
                <w:lang w:eastAsia="en-GB"/>
              </w:rPr>
              <w:t>71%</w:t>
            </w:r>
          </w:p>
        </w:tc>
        <w:tc>
          <w:tcPr>
            <w:tcW w:w="851" w:type="dxa"/>
            <w:tcBorders>
              <w:top w:val="nil"/>
              <w:left w:val="nil"/>
              <w:bottom w:val="single" w:sz="4" w:space="0" w:color="auto"/>
              <w:right w:val="single" w:sz="4" w:space="0" w:color="auto"/>
            </w:tcBorders>
            <w:shd w:val="clear" w:color="auto" w:fill="auto"/>
            <w:noWrap/>
            <w:vAlign w:val="bottom"/>
            <w:hideMark/>
          </w:tcPr>
          <w:p w14:paraId="57C1FA5A" w14:textId="77777777" w:rsidR="006C3F1F" w:rsidRPr="00E718E2" w:rsidRDefault="006C3F1F" w:rsidP="00064BC1">
            <w:pPr>
              <w:spacing w:after="0"/>
              <w:rPr>
                <w:rFonts w:eastAsia="Times New Roman" w:cs="Arial"/>
                <w:color w:val="000000"/>
                <w:sz w:val="18"/>
                <w:szCs w:val="18"/>
                <w:lang w:eastAsia="en-GB"/>
              </w:rPr>
            </w:pPr>
            <w:r w:rsidRPr="00E718E2">
              <w:rPr>
                <w:rFonts w:eastAsia="Times New Roman" w:cs="Arial"/>
                <w:color w:val="00B050"/>
                <w:sz w:val="18"/>
                <w:szCs w:val="18"/>
                <w:lang w:eastAsia="en-GB"/>
              </w:rPr>
              <w:t>100%</w:t>
            </w:r>
          </w:p>
        </w:tc>
        <w:tc>
          <w:tcPr>
            <w:tcW w:w="850" w:type="dxa"/>
            <w:tcBorders>
              <w:top w:val="nil"/>
              <w:left w:val="nil"/>
              <w:bottom w:val="single" w:sz="4" w:space="0" w:color="auto"/>
              <w:right w:val="single" w:sz="4" w:space="0" w:color="auto"/>
            </w:tcBorders>
            <w:shd w:val="clear" w:color="auto" w:fill="auto"/>
            <w:noWrap/>
            <w:vAlign w:val="bottom"/>
            <w:hideMark/>
          </w:tcPr>
          <w:p w14:paraId="47AE44EF" w14:textId="77777777" w:rsidR="006C3F1F" w:rsidRPr="00E718E2" w:rsidRDefault="006C3F1F" w:rsidP="00064BC1">
            <w:pPr>
              <w:spacing w:after="0"/>
              <w:rPr>
                <w:rFonts w:eastAsia="Times New Roman" w:cs="Arial"/>
                <w:color w:val="FF0000"/>
                <w:sz w:val="18"/>
                <w:szCs w:val="18"/>
                <w:lang w:eastAsia="en-GB"/>
              </w:rPr>
            </w:pPr>
            <w:r w:rsidRPr="00E718E2">
              <w:rPr>
                <w:rFonts w:eastAsia="Times New Roman" w:cs="Arial"/>
                <w:color w:val="FF0000"/>
                <w:sz w:val="18"/>
                <w:szCs w:val="18"/>
                <w:lang w:eastAsia="en-GB"/>
              </w:rPr>
              <w:t>75%</w:t>
            </w:r>
          </w:p>
        </w:tc>
        <w:tc>
          <w:tcPr>
            <w:tcW w:w="851" w:type="dxa"/>
            <w:tcBorders>
              <w:top w:val="nil"/>
              <w:left w:val="nil"/>
              <w:bottom w:val="single" w:sz="4" w:space="0" w:color="auto"/>
              <w:right w:val="single" w:sz="4" w:space="0" w:color="auto"/>
            </w:tcBorders>
            <w:shd w:val="clear" w:color="auto" w:fill="auto"/>
            <w:noWrap/>
            <w:vAlign w:val="bottom"/>
            <w:hideMark/>
          </w:tcPr>
          <w:p w14:paraId="0397506E" w14:textId="77777777" w:rsidR="006C3F1F" w:rsidRPr="00E718E2" w:rsidRDefault="006C3F1F" w:rsidP="00064BC1">
            <w:pPr>
              <w:spacing w:after="0"/>
              <w:rPr>
                <w:rFonts w:eastAsia="Times New Roman" w:cs="Arial"/>
                <w:color w:val="FF0000"/>
                <w:sz w:val="18"/>
                <w:szCs w:val="18"/>
                <w:lang w:eastAsia="en-GB"/>
              </w:rPr>
            </w:pPr>
            <w:r w:rsidRPr="00E718E2">
              <w:rPr>
                <w:rFonts w:eastAsia="Times New Roman" w:cs="Arial"/>
                <w:color w:val="FF0000"/>
                <w:sz w:val="18"/>
                <w:szCs w:val="18"/>
                <w:lang w:eastAsia="en-GB"/>
              </w:rPr>
              <w:t>60%</w:t>
            </w:r>
          </w:p>
        </w:tc>
        <w:tc>
          <w:tcPr>
            <w:tcW w:w="850" w:type="dxa"/>
            <w:tcBorders>
              <w:top w:val="nil"/>
              <w:left w:val="nil"/>
              <w:bottom w:val="single" w:sz="4" w:space="0" w:color="auto"/>
              <w:right w:val="single" w:sz="4" w:space="0" w:color="auto"/>
            </w:tcBorders>
            <w:shd w:val="clear" w:color="auto" w:fill="auto"/>
            <w:noWrap/>
            <w:vAlign w:val="bottom"/>
            <w:hideMark/>
          </w:tcPr>
          <w:p w14:paraId="5EF54A00" w14:textId="77777777" w:rsidR="006C3F1F" w:rsidRPr="00E718E2" w:rsidRDefault="006C3F1F" w:rsidP="00064BC1">
            <w:pPr>
              <w:spacing w:after="0"/>
              <w:rPr>
                <w:rFonts w:eastAsia="Times New Roman" w:cs="Arial"/>
                <w:color w:val="FF0000"/>
                <w:sz w:val="18"/>
                <w:szCs w:val="18"/>
                <w:lang w:eastAsia="en-GB"/>
              </w:rPr>
            </w:pPr>
            <w:r w:rsidRPr="00E718E2">
              <w:rPr>
                <w:rFonts w:eastAsia="Times New Roman" w:cs="Arial"/>
                <w:color w:val="FF0000"/>
                <w:sz w:val="18"/>
                <w:szCs w:val="18"/>
                <w:lang w:eastAsia="en-GB"/>
              </w:rPr>
              <w:t>69%</w:t>
            </w:r>
          </w:p>
        </w:tc>
        <w:tc>
          <w:tcPr>
            <w:tcW w:w="851" w:type="dxa"/>
            <w:tcBorders>
              <w:top w:val="nil"/>
              <w:left w:val="nil"/>
              <w:bottom w:val="single" w:sz="4" w:space="0" w:color="auto"/>
              <w:right w:val="single" w:sz="4" w:space="0" w:color="auto"/>
            </w:tcBorders>
            <w:shd w:val="clear" w:color="auto" w:fill="auto"/>
            <w:noWrap/>
            <w:vAlign w:val="bottom"/>
            <w:hideMark/>
          </w:tcPr>
          <w:p w14:paraId="0324CB21" w14:textId="77777777" w:rsidR="006C3F1F" w:rsidRPr="00E718E2" w:rsidRDefault="006C3F1F" w:rsidP="00064BC1">
            <w:pPr>
              <w:spacing w:after="0"/>
              <w:rPr>
                <w:rFonts w:eastAsia="Times New Roman" w:cs="Arial"/>
                <w:color w:val="000000"/>
                <w:sz w:val="18"/>
                <w:szCs w:val="18"/>
                <w:lang w:eastAsia="en-GB"/>
              </w:rPr>
            </w:pPr>
            <w:r w:rsidRPr="00E718E2">
              <w:rPr>
                <w:rFonts w:eastAsia="Times New Roman" w:cs="Arial"/>
                <w:color w:val="FF0000"/>
                <w:sz w:val="18"/>
                <w:szCs w:val="18"/>
                <w:lang w:eastAsia="en-GB"/>
              </w:rPr>
              <w:t>90%</w:t>
            </w:r>
          </w:p>
        </w:tc>
        <w:tc>
          <w:tcPr>
            <w:tcW w:w="850" w:type="dxa"/>
            <w:tcBorders>
              <w:top w:val="nil"/>
              <w:left w:val="nil"/>
              <w:bottom w:val="single" w:sz="4" w:space="0" w:color="auto"/>
              <w:right w:val="single" w:sz="4" w:space="0" w:color="auto"/>
            </w:tcBorders>
            <w:shd w:val="clear" w:color="auto" w:fill="auto"/>
            <w:noWrap/>
            <w:vAlign w:val="bottom"/>
            <w:hideMark/>
          </w:tcPr>
          <w:p w14:paraId="35915E65" w14:textId="77777777" w:rsidR="006C3F1F" w:rsidRPr="00E718E2" w:rsidRDefault="006C3F1F" w:rsidP="00064BC1">
            <w:pPr>
              <w:spacing w:after="0"/>
              <w:rPr>
                <w:rFonts w:eastAsia="Times New Roman" w:cs="Arial"/>
                <w:color w:val="FF0000"/>
                <w:sz w:val="18"/>
                <w:szCs w:val="18"/>
                <w:lang w:eastAsia="en-GB"/>
              </w:rPr>
            </w:pPr>
            <w:r w:rsidRPr="00E718E2">
              <w:rPr>
                <w:rFonts w:eastAsia="Times New Roman" w:cs="Arial"/>
                <w:color w:val="FF0000"/>
                <w:sz w:val="18"/>
                <w:szCs w:val="18"/>
                <w:lang w:eastAsia="en-GB"/>
              </w:rPr>
              <w:t>92%</w:t>
            </w:r>
          </w:p>
        </w:tc>
        <w:tc>
          <w:tcPr>
            <w:tcW w:w="709" w:type="dxa"/>
            <w:tcBorders>
              <w:top w:val="nil"/>
              <w:left w:val="nil"/>
              <w:bottom w:val="single" w:sz="4" w:space="0" w:color="auto"/>
              <w:right w:val="single" w:sz="4" w:space="0" w:color="auto"/>
            </w:tcBorders>
            <w:shd w:val="clear" w:color="auto" w:fill="auto"/>
            <w:noWrap/>
            <w:vAlign w:val="bottom"/>
            <w:hideMark/>
          </w:tcPr>
          <w:p w14:paraId="24DF2562" w14:textId="77777777" w:rsidR="006C3F1F" w:rsidRPr="00E718E2" w:rsidRDefault="006C3F1F" w:rsidP="00064BC1">
            <w:pPr>
              <w:spacing w:after="0"/>
              <w:rPr>
                <w:rFonts w:eastAsia="Times New Roman" w:cs="Arial"/>
                <w:color w:val="FF0000"/>
                <w:sz w:val="18"/>
                <w:szCs w:val="18"/>
                <w:lang w:eastAsia="en-GB"/>
              </w:rPr>
            </w:pPr>
            <w:r w:rsidRPr="00E718E2">
              <w:rPr>
                <w:rFonts w:eastAsia="Times New Roman" w:cs="Arial"/>
                <w:color w:val="FF0000"/>
                <w:sz w:val="18"/>
                <w:szCs w:val="18"/>
                <w:lang w:eastAsia="en-GB"/>
              </w:rPr>
              <w:t>78%</w:t>
            </w:r>
          </w:p>
        </w:tc>
        <w:tc>
          <w:tcPr>
            <w:tcW w:w="709" w:type="dxa"/>
            <w:tcBorders>
              <w:top w:val="nil"/>
              <w:left w:val="nil"/>
              <w:bottom w:val="single" w:sz="4" w:space="0" w:color="auto"/>
              <w:right w:val="single" w:sz="4" w:space="0" w:color="auto"/>
            </w:tcBorders>
            <w:vAlign w:val="bottom"/>
          </w:tcPr>
          <w:p w14:paraId="3388F11B" w14:textId="4508AAD5" w:rsidR="006C3F1F" w:rsidRPr="00E718E2" w:rsidRDefault="006C3F1F" w:rsidP="006C3F1F">
            <w:pPr>
              <w:spacing w:after="0"/>
              <w:jc w:val="center"/>
              <w:rPr>
                <w:rFonts w:eastAsia="Times New Roman" w:cs="Arial"/>
                <w:color w:val="FF0000"/>
                <w:sz w:val="18"/>
                <w:szCs w:val="18"/>
                <w:lang w:eastAsia="en-GB"/>
              </w:rPr>
            </w:pPr>
            <w:r w:rsidRPr="00E718E2">
              <w:rPr>
                <w:rFonts w:eastAsia="Times New Roman" w:cs="Arial"/>
                <w:color w:val="FF0000"/>
                <w:sz w:val="18"/>
                <w:szCs w:val="18"/>
                <w:lang w:eastAsia="en-GB"/>
              </w:rPr>
              <w:t>82%</w:t>
            </w:r>
          </w:p>
        </w:tc>
      </w:tr>
      <w:tr w:rsidR="00E718E2" w:rsidRPr="00064BC1" w14:paraId="068DBDFC" w14:textId="279673A0" w:rsidTr="00E718E2">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2E341CC" w14:textId="77777777" w:rsidR="006C3F1F" w:rsidRPr="00E718E2" w:rsidRDefault="006C3F1F" w:rsidP="00064BC1">
            <w:pPr>
              <w:spacing w:after="0"/>
              <w:rPr>
                <w:rFonts w:eastAsia="Times New Roman" w:cs="Arial"/>
                <w:b/>
                <w:color w:val="000000"/>
                <w:sz w:val="18"/>
                <w:szCs w:val="18"/>
                <w:lang w:eastAsia="en-GB"/>
              </w:rPr>
            </w:pPr>
            <w:r w:rsidRPr="00E718E2">
              <w:rPr>
                <w:rFonts w:eastAsia="Times New Roman" w:cs="Arial"/>
                <w:b/>
                <w:color w:val="000000"/>
                <w:sz w:val="18"/>
                <w:szCs w:val="18"/>
                <w:lang w:eastAsia="en-GB"/>
              </w:rPr>
              <w:t>PC</w:t>
            </w:r>
          </w:p>
        </w:tc>
        <w:tc>
          <w:tcPr>
            <w:tcW w:w="851" w:type="dxa"/>
            <w:tcBorders>
              <w:top w:val="nil"/>
              <w:left w:val="nil"/>
              <w:bottom w:val="single" w:sz="4" w:space="0" w:color="auto"/>
              <w:right w:val="single" w:sz="4" w:space="0" w:color="auto"/>
            </w:tcBorders>
            <w:shd w:val="clear" w:color="auto" w:fill="auto"/>
            <w:noWrap/>
            <w:vAlign w:val="bottom"/>
            <w:hideMark/>
          </w:tcPr>
          <w:p w14:paraId="73600C64" w14:textId="77777777" w:rsidR="006C3F1F" w:rsidRPr="00E718E2" w:rsidRDefault="006C3F1F" w:rsidP="00064BC1">
            <w:pPr>
              <w:spacing w:after="0"/>
              <w:rPr>
                <w:rFonts w:eastAsia="Times New Roman" w:cs="Arial"/>
                <w:color w:val="FF0000"/>
                <w:sz w:val="18"/>
                <w:szCs w:val="18"/>
                <w:lang w:eastAsia="en-GB"/>
              </w:rPr>
            </w:pPr>
            <w:r w:rsidRPr="00E718E2">
              <w:rPr>
                <w:rFonts w:eastAsia="Times New Roman" w:cs="Arial"/>
                <w:color w:val="FF0000"/>
                <w:sz w:val="18"/>
                <w:szCs w:val="18"/>
                <w:lang w:eastAsia="en-GB"/>
              </w:rPr>
              <w:t>92%</w:t>
            </w:r>
          </w:p>
        </w:tc>
        <w:tc>
          <w:tcPr>
            <w:tcW w:w="851" w:type="dxa"/>
            <w:tcBorders>
              <w:top w:val="nil"/>
              <w:left w:val="nil"/>
              <w:bottom w:val="single" w:sz="4" w:space="0" w:color="auto"/>
              <w:right w:val="single" w:sz="4" w:space="0" w:color="auto"/>
            </w:tcBorders>
            <w:shd w:val="clear" w:color="auto" w:fill="auto"/>
            <w:noWrap/>
            <w:vAlign w:val="bottom"/>
            <w:hideMark/>
          </w:tcPr>
          <w:p w14:paraId="46C85E00" w14:textId="77777777" w:rsidR="006C3F1F" w:rsidRPr="00E718E2" w:rsidRDefault="006C3F1F" w:rsidP="00064BC1">
            <w:pPr>
              <w:spacing w:after="0"/>
              <w:rPr>
                <w:rFonts w:eastAsia="Times New Roman" w:cs="Arial"/>
                <w:color w:val="FF0000"/>
                <w:sz w:val="18"/>
                <w:szCs w:val="18"/>
                <w:lang w:eastAsia="en-GB"/>
              </w:rPr>
            </w:pPr>
            <w:r w:rsidRPr="00E718E2">
              <w:rPr>
                <w:rFonts w:eastAsia="Times New Roman" w:cs="Arial"/>
                <w:color w:val="FF0000"/>
                <w:sz w:val="18"/>
                <w:szCs w:val="18"/>
                <w:lang w:eastAsia="en-GB"/>
              </w:rPr>
              <w:t>91%</w:t>
            </w:r>
          </w:p>
        </w:tc>
        <w:tc>
          <w:tcPr>
            <w:tcW w:w="850" w:type="dxa"/>
            <w:tcBorders>
              <w:top w:val="nil"/>
              <w:left w:val="nil"/>
              <w:bottom w:val="single" w:sz="4" w:space="0" w:color="auto"/>
              <w:right w:val="single" w:sz="4" w:space="0" w:color="auto"/>
            </w:tcBorders>
            <w:shd w:val="clear" w:color="auto" w:fill="auto"/>
            <w:noWrap/>
            <w:vAlign w:val="bottom"/>
            <w:hideMark/>
          </w:tcPr>
          <w:p w14:paraId="0FCB01A4"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1" w:type="dxa"/>
            <w:tcBorders>
              <w:top w:val="nil"/>
              <w:left w:val="nil"/>
              <w:bottom w:val="single" w:sz="4" w:space="0" w:color="auto"/>
              <w:right w:val="single" w:sz="4" w:space="0" w:color="auto"/>
            </w:tcBorders>
            <w:shd w:val="clear" w:color="auto" w:fill="auto"/>
            <w:noWrap/>
            <w:vAlign w:val="bottom"/>
            <w:hideMark/>
          </w:tcPr>
          <w:p w14:paraId="7A0AA9AC" w14:textId="77777777" w:rsidR="006C3F1F" w:rsidRPr="00E718E2" w:rsidRDefault="006C3F1F" w:rsidP="00064BC1">
            <w:pPr>
              <w:spacing w:after="0"/>
              <w:rPr>
                <w:rFonts w:eastAsia="Times New Roman" w:cs="Arial"/>
                <w:color w:val="FF0000"/>
                <w:sz w:val="18"/>
                <w:szCs w:val="18"/>
                <w:lang w:eastAsia="en-GB"/>
              </w:rPr>
            </w:pPr>
            <w:r w:rsidRPr="00E718E2">
              <w:rPr>
                <w:rFonts w:eastAsia="Times New Roman" w:cs="Arial"/>
                <w:color w:val="FF0000"/>
                <w:sz w:val="18"/>
                <w:szCs w:val="18"/>
                <w:lang w:eastAsia="en-GB"/>
              </w:rPr>
              <w:t>80%</w:t>
            </w:r>
          </w:p>
        </w:tc>
        <w:tc>
          <w:tcPr>
            <w:tcW w:w="850" w:type="dxa"/>
            <w:tcBorders>
              <w:top w:val="nil"/>
              <w:left w:val="nil"/>
              <w:bottom w:val="single" w:sz="4" w:space="0" w:color="auto"/>
              <w:right w:val="single" w:sz="4" w:space="0" w:color="auto"/>
            </w:tcBorders>
            <w:shd w:val="clear" w:color="auto" w:fill="auto"/>
            <w:noWrap/>
            <w:vAlign w:val="bottom"/>
            <w:hideMark/>
          </w:tcPr>
          <w:p w14:paraId="061C1510" w14:textId="77777777" w:rsidR="006C3F1F" w:rsidRPr="00E718E2" w:rsidRDefault="006C3F1F" w:rsidP="00064BC1">
            <w:pPr>
              <w:spacing w:after="0"/>
              <w:rPr>
                <w:rFonts w:eastAsia="Times New Roman" w:cs="Arial"/>
                <w:color w:val="FF0000"/>
                <w:sz w:val="18"/>
                <w:szCs w:val="18"/>
                <w:lang w:eastAsia="en-GB"/>
              </w:rPr>
            </w:pPr>
            <w:r w:rsidRPr="00E718E2">
              <w:rPr>
                <w:rFonts w:eastAsia="Times New Roman" w:cs="Arial"/>
                <w:color w:val="FF0000"/>
                <w:sz w:val="18"/>
                <w:szCs w:val="18"/>
                <w:lang w:eastAsia="en-GB"/>
              </w:rPr>
              <w:t>89%</w:t>
            </w:r>
          </w:p>
        </w:tc>
        <w:tc>
          <w:tcPr>
            <w:tcW w:w="851" w:type="dxa"/>
            <w:tcBorders>
              <w:top w:val="nil"/>
              <w:left w:val="nil"/>
              <w:bottom w:val="single" w:sz="4" w:space="0" w:color="auto"/>
              <w:right w:val="single" w:sz="4" w:space="0" w:color="auto"/>
            </w:tcBorders>
            <w:shd w:val="clear" w:color="auto" w:fill="auto"/>
            <w:noWrap/>
            <w:vAlign w:val="bottom"/>
            <w:hideMark/>
          </w:tcPr>
          <w:p w14:paraId="7E60B7BD" w14:textId="77777777" w:rsidR="006C3F1F" w:rsidRPr="00E718E2" w:rsidRDefault="006C3F1F" w:rsidP="00064BC1">
            <w:pPr>
              <w:spacing w:after="0"/>
              <w:rPr>
                <w:rFonts w:eastAsia="Times New Roman" w:cs="Arial"/>
                <w:color w:val="FF0000"/>
                <w:sz w:val="18"/>
                <w:szCs w:val="18"/>
                <w:lang w:eastAsia="en-GB"/>
              </w:rPr>
            </w:pPr>
            <w:r w:rsidRPr="00E718E2">
              <w:rPr>
                <w:rFonts w:eastAsia="Times New Roman" w:cs="Arial"/>
                <w:color w:val="FF0000"/>
                <w:sz w:val="18"/>
                <w:szCs w:val="18"/>
                <w:lang w:eastAsia="en-GB"/>
              </w:rPr>
              <w:t>75%</w:t>
            </w:r>
          </w:p>
        </w:tc>
        <w:tc>
          <w:tcPr>
            <w:tcW w:w="850" w:type="dxa"/>
            <w:tcBorders>
              <w:top w:val="nil"/>
              <w:left w:val="nil"/>
              <w:bottom w:val="single" w:sz="4" w:space="0" w:color="auto"/>
              <w:right w:val="single" w:sz="4" w:space="0" w:color="auto"/>
            </w:tcBorders>
            <w:shd w:val="clear" w:color="auto" w:fill="auto"/>
            <w:noWrap/>
            <w:vAlign w:val="bottom"/>
            <w:hideMark/>
          </w:tcPr>
          <w:p w14:paraId="5F75BEF3" w14:textId="77777777" w:rsidR="006C3F1F" w:rsidRPr="00E718E2" w:rsidRDefault="006C3F1F" w:rsidP="00064BC1">
            <w:pPr>
              <w:spacing w:after="0"/>
              <w:rPr>
                <w:rFonts w:eastAsia="Times New Roman" w:cs="Arial"/>
                <w:color w:val="FF0000"/>
                <w:sz w:val="18"/>
                <w:szCs w:val="18"/>
                <w:lang w:eastAsia="en-GB"/>
              </w:rPr>
            </w:pPr>
            <w:r w:rsidRPr="00E718E2">
              <w:rPr>
                <w:rFonts w:eastAsia="Times New Roman" w:cs="Arial"/>
                <w:color w:val="FF0000"/>
                <w:sz w:val="18"/>
                <w:szCs w:val="18"/>
                <w:lang w:eastAsia="en-GB"/>
              </w:rPr>
              <w:t>67%</w:t>
            </w:r>
          </w:p>
        </w:tc>
        <w:tc>
          <w:tcPr>
            <w:tcW w:w="851" w:type="dxa"/>
            <w:tcBorders>
              <w:top w:val="nil"/>
              <w:left w:val="nil"/>
              <w:bottom w:val="single" w:sz="4" w:space="0" w:color="auto"/>
              <w:right w:val="single" w:sz="4" w:space="0" w:color="auto"/>
            </w:tcBorders>
            <w:shd w:val="clear" w:color="auto" w:fill="auto"/>
            <w:noWrap/>
            <w:vAlign w:val="bottom"/>
            <w:hideMark/>
          </w:tcPr>
          <w:p w14:paraId="432B62B1" w14:textId="77777777" w:rsidR="006C3F1F" w:rsidRPr="00E718E2" w:rsidRDefault="006C3F1F" w:rsidP="00064BC1">
            <w:pPr>
              <w:spacing w:after="0"/>
              <w:rPr>
                <w:rFonts w:eastAsia="Times New Roman" w:cs="Arial"/>
                <w:color w:val="FF0000"/>
                <w:sz w:val="18"/>
                <w:szCs w:val="18"/>
                <w:lang w:eastAsia="en-GB"/>
              </w:rPr>
            </w:pPr>
            <w:r w:rsidRPr="00E718E2">
              <w:rPr>
                <w:rFonts w:eastAsia="Times New Roman" w:cs="Arial"/>
                <w:color w:val="FF0000"/>
                <w:sz w:val="18"/>
                <w:szCs w:val="18"/>
                <w:lang w:eastAsia="en-GB"/>
              </w:rPr>
              <w:t>85%</w:t>
            </w:r>
          </w:p>
        </w:tc>
        <w:tc>
          <w:tcPr>
            <w:tcW w:w="850" w:type="dxa"/>
            <w:tcBorders>
              <w:top w:val="nil"/>
              <w:left w:val="nil"/>
              <w:bottom w:val="single" w:sz="4" w:space="0" w:color="auto"/>
              <w:right w:val="single" w:sz="4" w:space="0" w:color="auto"/>
            </w:tcBorders>
            <w:shd w:val="clear" w:color="auto" w:fill="auto"/>
            <w:noWrap/>
            <w:vAlign w:val="bottom"/>
            <w:hideMark/>
          </w:tcPr>
          <w:p w14:paraId="72760826"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1" w:type="dxa"/>
            <w:tcBorders>
              <w:top w:val="nil"/>
              <w:left w:val="nil"/>
              <w:bottom w:val="single" w:sz="4" w:space="0" w:color="auto"/>
              <w:right w:val="single" w:sz="4" w:space="0" w:color="auto"/>
            </w:tcBorders>
            <w:shd w:val="clear" w:color="auto" w:fill="auto"/>
            <w:noWrap/>
            <w:vAlign w:val="bottom"/>
            <w:hideMark/>
          </w:tcPr>
          <w:p w14:paraId="35239091"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0" w:type="dxa"/>
            <w:tcBorders>
              <w:top w:val="nil"/>
              <w:left w:val="nil"/>
              <w:bottom w:val="single" w:sz="4" w:space="0" w:color="auto"/>
              <w:right w:val="single" w:sz="4" w:space="0" w:color="auto"/>
            </w:tcBorders>
            <w:shd w:val="clear" w:color="auto" w:fill="auto"/>
            <w:noWrap/>
            <w:vAlign w:val="bottom"/>
            <w:hideMark/>
          </w:tcPr>
          <w:p w14:paraId="306DE0C5"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709" w:type="dxa"/>
            <w:tcBorders>
              <w:top w:val="nil"/>
              <w:left w:val="nil"/>
              <w:bottom w:val="single" w:sz="4" w:space="0" w:color="auto"/>
              <w:right w:val="single" w:sz="4" w:space="0" w:color="auto"/>
            </w:tcBorders>
            <w:shd w:val="clear" w:color="auto" w:fill="auto"/>
            <w:noWrap/>
            <w:vAlign w:val="bottom"/>
            <w:hideMark/>
          </w:tcPr>
          <w:p w14:paraId="0254B418"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709" w:type="dxa"/>
            <w:tcBorders>
              <w:top w:val="nil"/>
              <w:left w:val="nil"/>
              <w:bottom w:val="single" w:sz="4" w:space="0" w:color="auto"/>
              <w:right w:val="single" w:sz="4" w:space="0" w:color="auto"/>
            </w:tcBorders>
            <w:vAlign w:val="bottom"/>
          </w:tcPr>
          <w:p w14:paraId="51DE7A4B" w14:textId="476E9FA5" w:rsidR="006C3F1F" w:rsidRPr="00E718E2" w:rsidRDefault="006C3F1F" w:rsidP="006C3F1F">
            <w:pPr>
              <w:spacing w:after="0"/>
              <w:jc w:val="center"/>
              <w:rPr>
                <w:rFonts w:eastAsia="Times New Roman" w:cs="Arial"/>
                <w:color w:val="00B050"/>
                <w:sz w:val="18"/>
                <w:szCs w:val="18"/>
                <w:lang w:eastAsia="en-GB"/>
              </w:rPr>
            </w:pPr>
            <w:r w:rsidRPr="00E718E2">
              <w:rPr>
                <w:rFonts w:eastAsia="Times New Roman" w:cs="Arial"/>
                <w:color w:val="FF0000"/>
                <w:sz w:val="18"/>
                <w:szCs w:val="18"/>
                <w:lang w:eastAsia="en-GB"/>
              </w:rPr>
              <w:t>90%</w:t>
            </w:r>
          </w:p>
        </w:tc>
      </w:tr>
      <w:tr w:rsidR="00E718E2" w:rsidRPr="00064BC1" w14:paraId="55A200DD" w14:textId="5F067FC9" w:rsidTr="00E718E2">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6BE280C" w14:textId="77777777" w:rsidR="006C3F1F" w:rsidRPr="00E718E2" w:rsidRDefault="006C3F1F" w:rsidP="00064BC1">
            <w:pPr>
              <w:spacing w:after="0"/>
              <w:rPr>
                <w:rFonts w:eastAsia="Times New Roman" w:cs="Arial"/>
                <w:b/>
                <w:color w:val="000000"/>
                <w:sz w:val="18"/>
                <w:szCs w:val="18"/>
                <w:lang w:eastAsia="en-GB"/>
              </w:rPr>
            </w:pPr>
            <w:r w:rsidRPr="00E718E2">
              <w:rPr>
                <w:rFonts w:eastAsia="Times New Roman" w:cs="Arial"/>
                <w:b/>
                <w:color w:val="000000"/>
                <w:sz w:val="18"/>
                <w:szCs w:val="18"/>
                <w:lang w:eastAsia="en-GB"/>
              </w:rPr>
              <w:t>CSS</w:t>
            </w:r>
          </w:p>
        </w:tc>
        <w:tc>
          <w:tcPr>
            <w:tcW w:w="851" w:type="dxa"/>
            <w:tcBorders>
              <w:top w:val="nil"/>
              <w:left w:val="nil"/>
              <w:bottom w:val="single" w:sz="4" w:space="0" w:color="auto"/>
              <w:right w:val="single" w:sz="4" w:space="0" w:color="auto"/>
            </w:tcBorders>
            <w:shd w:val="clear" w:color="auto" w:fill="auto"/>
            <w:noWrap/>
            <w:vAlign w:val="bottom"/>
            <w:hideMark/>
          </w:tcPr>
          <w:p w14:paraId="48130102"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1" w:type="dxa"/>
            <w:tcBorders>
              <w:top w:val="nil"/>
              <w:left w:val="nil"/>
              <w:bottom w:val="single" w:sz="4" w:space="0" w:color="auto"/>
              <w:right w:val="single" w:sz="4" w:space="0" w:color="auto"/>
            </w:tcBorders>
            <w:shd w:val="clear" w:color="auto" w:fill="auto"/>
            <w:noWrap/>
            <w:vAlign w:val="bottom"/>
            <w:hideMark/>
          </w:tcPr>
          <w:p w14:paraId="1C1A7E34"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0" w:type="dxa"/>
            <w:tcBorders>
              <w:top w:val="nil"/>
              <w:left w:val="nil"/>
              <w:bottom w:val="single" w:sz="4" w:space="0" w:color="auto"/>
              <w:right w:val="single" w:sz="4" w:space="0" w:color="auto"/>
            </w:tcBorders>
            <w:shd w:val="clear" w:color="auto" w:fill="auto"/>
            <w:noWrap/>
            <w:vAlign w:val="bottom"/>
            <w:hideMark/>
          </w:tcPr>
          <w:p w14:paraId="3F68409F"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1" w:type="dxa"/>
            <w:tcBorders>
              <w:top w:val="nil"/>
              <w:left w:val="nil"/>
              <w:bottom w:val="single" w:sz="4" w:space="0" w:color="auto"/>
              <w:right w:val="single" w:sz="4" w:space="0" w:color="auto"/>
            </w:tcBorders>
            <w:shd w:val="clear" w:color="auto" w:fill="auto"/>
            <w:noWrap/>
            <w:vAlign w:val="bottom"/>
            <w:hideMark/>
          </w:tcPr>
          <w:p w14:paraId="1D83E24A"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0" w:type="dxa"/>
            <w:tcBorders>
              <w:top w:val="nil"/>
              <w:left w:val="nil"/>
              <w:bottom w:val="single" w:sz="4" w:space="0" w:color="auto"/>
              <w:right w:val="single" w:sz="4" w:space="0" w:color="auto"/>
            </w:tcBorders>
            <w:shd w:val="clear" w:color="auto" w:fill="auto"/>
            <w:noWrap/>
            <w:vAlign w:val="bottom"/>
            <w:hideMark/>
          </w:tcPr>
          <w:p w14:paraId="678CF225"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1" w:type="dxa"/>
            <w:tcBorders>
              <w:top w:val="nil"/>
              <w:left w:val="nil"/>
              <w:bottom w:val="single" w:sz="4" w:space="0" w:color="auto"/>
              <w:right w:val="single" w:sz="4" w:space="0" w:color="auto"/>
            </w:tcBorders>
            <w:shd w:val="clear" w:color="auto" w:fill="auto"/>
            <w:noWrap/>
            <w:vAlign w:val="bottom"/>
            <w:hideMark/>
          </w:tcPr>
          <w:p w14:paraId="2532574D"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0" w:type="dxa"/>
            <w:tcBorders>
              <w:top w:val="nil"/>
              <w:left w:val="nil"/>
              <w:bottom w:val="single" w:sz="4" w:space="0" w:color="auto"/>
              <w:right w:val="single" w:sz="4" w:space="0" w:color="auto"/>
            </w:tcBorders>
            <w:shd w:val="clear" w:color="auto" w:fill="auto"/>
            <w:noWrap/>
            <w:vAlign w:val="bottom"/>
            <w:hideMark/>
          </w:tcPr>
          <w:p w14:paraId="174BE0FE"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1" w:type="dxa"/>
            <w:tcBorders>
              <w:top w:val="nil"/>
              <w:left w:val="nil"/>
              <w:bottom w:val="single" w:sz="4" w:space="0" w:color="auto"/>
              <w:right w:val="single" w:sz="4" w:space="0" w:color="auto"/>
            </w:tcBorders>
            <w:shd w:val="clear" w:color="auto" w:fill="auto"/>
            <w:noWrap/>
            <w:vAlign w:val="bottom"/>
            <w:hideMark/>
          </w:tcPr>
          <w:p w14:paraId="550336B4"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0" w:type="dxa"/>
            <w:tcBorders>
              <w:top w:val="nil"/>
              <w:left w:val="nil"/>
              <w:bottom w:val="single" w:sz="4" w:space="0" w:color="auto"/>
              <w:right w:val="single" w:sz="4" w:space="0" w:color="auto"/>
            </w:tcBorders>
            <w:shd w:val="clear" w:color="auto" w:fill="auto"/>
            <w:noWrap/>
            <w:vAlign w:val="bottom"/>
            <w:hideMark/>
          </w:tcPr>
          <w:p w14:paraId="77568DB3"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1" w:type="dxa"/>
            <w:tcBorders>
              <w:top w:val="nil"/>
              <w:left w:val="nil"/>
              <w:bottom w:val="single" w:sz="4" w:space="0" w:color="auto"/>
              <w:right w:val="single" w:sz="4" w:space="0" w:color="auto"/>
            </w:tcBorders>
            <w:shd w:val="clear" w:color="auto" w:fill="auto"/>
            <w:noWrap/>
            <w:vAlign w:val="bottom"/>
            <w:hideMark/>
          </w:tcPr>
          <w:p w14:paraId="4E8704F6"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0" w:type="dxa"/>
            <w:tcBorders>
              <w:top w:val="nil"/>
              <w:left w:val="nil"/>
              <w:bottom w:val="single" w:sz="4" w:space="0" w:color="auto"/>
              <w:right w:val="single" w:sz="4" w:space="0" w:color="auto"/>
            </w:tcBorders>
            <w:shd w:val="clear" w:color="auto" w:fill="auto"/>
            <w:noWrap/>
            <w:vAlign w:val="bottom"/>
            <w:hideMark/>
          </w:tcPr>
          <w:p w14:paraId="2CD631CD"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709" w:type="dxa"/>
            <w:tcBorders>
              <w:top w:val="nil"/>
              <w:left w:val="nil"/>
              <w:bottom w:val="single" w:sz="4" w:space="0" w:color="auto"/>
              <w:right w:val="single" w:sz="4" w:space="0" w:color="auto"/>
            </w:tcBorders>
            <w:shd w:val="clear" w:color="auto" w:fill="auto"/>
            <w:noWrap/>
            <w:vAlign w:val="bottom"/>
            <w:hideMark/>
          </w:tcPr>
          <w:p w14:paraId="3041568C"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709" w:type="dxa"/>
            <w:tcBorders>
              <w:top w:val="nil"/>
              <w:left w:val="nil"/>
              <w:bottom w:val="single" w:sz="4" w:space="0" w:color="auto"/>
              <w:right w:val="single" w:sz="4" w:space="0" w:color="auto"/>
            </w:tcBorders>
            <w:vAlign w:val="bottom"/>
          </w:tcPr>
          <w:p w14:paraId="17613B7B" w14:textId="64D296F3" w:rsidR="006C3F1F" w:rsidRPr="00E718E2" w:rsidRDefault="006C3F1F" w:rsidP="006C3F1F">
            <w:pPr>
              <w:spacing w:after="0"/>
              <w:jc w:val="center"/>
              <w:rPr>
                <w:rFonts w:eastAsia="Times New Roman" w:cs="Arial"/>
                <w:color w:val="00B050"/>
                <w:sz w:val="18"/>
                <w:szCs w:val="18"/>
                <w:lang w:eastAsia="en-GB"/>
              </w:rPr>
            </w:pPr>
            <w:r w:rsidRPr="00E718E2">
              <w:rPr>
                <w:rFonts w:eastAsia="Times New Roman" w:cs="Arial"/>
                <w:color w:val="00B050"/>
                <w:sz w:val="18"/>
                <w:szCs w:val="18"/>
                <w:lang w:eastAsia="en-GB"/>
              </w:rPr>
              <w:t>100%</w:t>
            </w:r>
          </w:p>
        </w:tc>
      </w:tr>
      <w:tr w:rsidR="00E718E2" w:rsidRPr="00064BC1" w14:paraId="73981564" w14:textId="0833A206" w:rsidTr="00E718E2">
        <w:trPr>
          <w:trHeight w:val="316"/>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3080D7B" w14:textId="1C6393BE" w:rsidR="006C3F1F" w:rsidRPr="00E718E2" w:rsidRDefault="00E718E2" w:rsidP="00064BC1">
            <w:pPr>
              <w:spacing w:after="0"/>
              <w:rPr>
                <w:rFonts w:eastAsia="Times New Roman" w:cs="Arial"/>
                <w:b/>
                <w:color w:val="000000"/>
                <w:sz w:val="18"/>
                <w:szCs w:val="18"/>
                <w:lang w:eastAsia="en-GB"/>
              </w:rPr>
            </w:pPr>
            <w:r w:rsidRPr="00E718E2">
              <w:rPr>
                <w:rFonts w:eastAsia="Times New Roman" w:cs="Arial"/>
                <w:b/>
                <w:color w:val="000000"/>
                <w:sz w:val="18"/>
                <w:szCs w:val="18"/>
                <w:lang w:eastAsia="en-GB"/>
              </w:rPr>
              <w:t>SCD</w:t>
            </w:r>
          </w:p>
        </w:tc>
        <w:tc>
          <w:tcPr>
            <w:tcW w:w="851" w:type="dxa"/>
            <w:tcBorders>
              <w:top w:val="nil"/>
              <w:left w:val="nil"/>
              <w:bottom w:val="single" w:sz="4" w:space="0" w:color="auto"/>
              <w:right w:val="single" w:sz="4" w:space="0" w:color="auto"/>
            </w:tcBorders>
            <w:shd w:val="clear" w:color="auto" w:fill="auto"/>
            <w:noWrap/>
            <w:vAlign w:val="bottom"/>
            <w:hideMark/>
          </w:tcPr>
          <w:p w14:paraId="26F9F071" w14:textId="77777777" w:rsidR="006C3F1F" w:rsidRPr="00E718E2" w:rsidRDefault="006C3F1F" w:rsidP="00064BC1">
            <w:pPr>
              <w:spacing w:after="0"/>
              <w:rPr>
                <w:rFonts w:eastAsia="Times New Roman" w:cs="Arial"/>
                <w:color w:val="000000"/>
                <w:sz w:val="18"/>
                <w:szCs w:val="18"/>
                <w:lang w:eastAsia="en-GB"/>
              </w:rPr>
            </w:pPr>
            <w:r w:rsidRPr="00E718E2">
              <w:rPr>
                <w:rFonts w:eastAsia="Times New Roman" w:cs="Arial"/>
                <w:color w:val="FF0000"/>
                <w:sz w:val="18"/>
                <w:szCs w:val="18"/>
                <w:lang w:eastAsia="en-GB"/>
              </w:rPr>
              <w:t>82%</w:t>
            </w:r>
          </w:p>
        </w:tc>
        <w:tc>
          <w:tcPr>
            <w:tcW w:w="851" w:type="dxa"/>
            <w:tcBorders>
              <w:top w:val="nil"/>
              <w:left w:val="nil"/>
              <w:bottom w:val="single" w:sz="4" w:space="0" w:color="auto"/>
              <w:right w:val="single" w:sz="4" w:space="0" w:color="auto"/>
            </w:tcBorders>
            <w:shd w:val="clear" w:color="auto" w:fill="auto"/>
            <w:noWrap/>
            <w:vAlign w:val="bottom"/>
            <w:hideMark/>
          </w:tcPr>
          <w:p w14:paraId="5D89E0D6" w14:textId="77777777" w:rsidR="006C3F1F" w:rsidRPr="00E718E2" w:rsidRDefault="006C3F1F" w:rsidP="00064BC1">
            <w:pPr>
              <w:spacing w:after="0"/>
              <w:rPr>
                <w:rFonts w:eastAsia="Times New Roman" w:cs="Arial"/>
                <w:color w:val="000000"/>
                <w:sz w:val="18"/>
                <w:szCs w:val="18"/>
                <w:lang w:eastAsia="en-GB"/>
              </w:rPr>
            </w:pPr>
            <w:r w:rsidRPr="00E718E2">
              <w:rPr>
                <w:rFonts w:eastAsia="Times New Roman" w:cs="Arial"/>
                <w:color w:val="FF0000"/>
                <w:sz w:val="18"/>
                <w:szCs w:val="18"/>
                <w:lang w:eastAsia="en-GB"/>
              </w:rPr>
              <w:t>94%</w:t>
            </w:r>
          </w:p>
        </w:tc>
        <w:tc>
          <w:tcPr>
            <w:tcW w:w="850" w:type="dxa"/>
            <w:tcBorders>
              <w:top w:val="nil"/>
              <w:left w:val="nil"/>
              <w:bottom w:val="single" w:sz="4" w:space="0" w:color="auto"/>
              <w:right w:val="single" w:sz="4" w:space="0" w:color="auto"/>
            </w:tcBorders>
            <w:shd w:val="clear" w:color="auto" w:fill="auto"/>
            <w:noWrap/>
            <w:vAlign w:val="bottom"/>
            <w:hideMark/>
          </w:tcPr>
          <w:p w14:paraId="0D835E04"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1" w:type="dxa"/>
            <w:tcBorders>
              <w:top w:val="nil"/>
              <w:left w:val="nil"/>
              <w:bottom w:val="single" w:sz="4" w:space="0" w:color="auto"/>
              <w:right w:val="single" w:sz="4" w:space="0" w:color="auto"/>
            </w:tcBorders>
            <w:shd w:val="clear" w:color="auto" w:fill="auto"/>
            <w:noWrap/>
            <w:vAlign w:val="bottom"/>
            <w:hideMark/>
          </w:tcPr>
          <w:p w14:paraId="03BA84FE"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0" w:type="dxa"/>
            <w:tcBorders>
              <w:top w:val="nil"/>
              <w:left w:val="nil"/>
              <w:bottom w:val="single" w:sz="4" w:space="0" w:color="auto"/>
              <w:right w:val="single" w:sz="4" w:space="0" w:color="auto"/>
            </w:tcBorders>
            <w:shd w:val="clear" w:color="auto" w:fill="auto"/>
            <w:noWrap/>
            <w:vAlign w:val="bottom"/>
            <w:hideMark/>
          </w:tcPr>
          <w:p w14:paraId="258CA6F8"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1" w:type="dxa"/>
            <w:tcBorders>
              <w:top w:val="nil"/>
              <w:left w:val="nil"/>
              <w:bottom w:val="single" w:sz="4" w:space="0" w:color="auto"/>
              <w:right w:val="single" w:sz="4" w:space="0" w:color="auto"/>
            </w:tcBorders>
            <w:shd w:val="clear" w:color="auto" w:fill="auto"/>
            <w:noWrap/>
            <w:vAlign w:val="bottom"/>
            <w:hideMark/>
          </w:tcPr>
          <w:p w14:paraId="1FEE2F65" w14:textId="77777777" w:rsidR="006C3F1F" w:rsidRPr="00E718E2" w:rsidRDefault="006C3F1F" w:rsidP="00064BC1">
            <w:pPr>
              <w:spacing w:after="0"/>
              <w:rPr>
                <w:rFonts w:eastAsia="Times New Roman" w:cs="Arial"/>
                <w:color w:val="FF0000"/>
                <w:sz w:val="18"/>
                <w:szCs w:val="18"/>
                <w:lang w:eastAsia="en-GB"/>
              </w:rPr>
            </w:pPr>
            <w:r w:rsidRPr="00E718E2">
              <w:rPr>
                <w:rFonts w:eastAsia="Times New Roman" w:cs="Arial"/>
                <w:color w:val="FF0000"/>
                <w:sz w:val="18"/>
                <w:szCs w:val="18"/>
                <w:lang w:eastAsia="en-GB"/>
              </w:rPr>
              <w:t>94%</w:t>
            </w:r>
          </w:p>
        </w:tc>
        <w:tc>
          <w:tcPr>
            <w:tcW w:w="850" w:type="dxa"/>
            <w:tcBorders>
              <w:top w:val="nil"/>
              <w:left w:val="nil"/>
              <w:bottom w:val="single" w:sz="4" w:space="0" w:color="auto"/>
              <w:right w:val="single" w:sz="4" w:space="0" w:color="auto"/>
            </w:tcBorders>
            <w:shd w:val="clear" w:color="auto" w:fill="auto"/>
            <w:noWrap/>
            <w:vAlign w:val="bottom"/>
            <w:hideMark/>
          </w:tcPr>
          <w:p w14:paraId="0F9CEB1E" w14:textId="77777777" w:rsidR="006C3F1F" w:rsidRPr="00E718E2" w:rsidRDefault="006C3F1F" w:rsidP="00064BC1">
            <w:pPr>
              <w:spacing w:after="0"/>
              <w:rPr>
                <w:rFonts w:eastAsia="Times New Roman" w:cs="Arial"/>
                <w:color w:val="FF0000"/>
                <w:sz w:val="18"/>
                <w:szCs w:val="18"/>
                <w:lang w:eastAsia="en-GB"/>
              </w:rPr>
            </w:pPr>
            <w:r w:rsidRPr="00E718E2">
              <w:rPr>
                <w:rFonts w:eastAsia="Times New Roman" w:cs="Arial"/>
                <w:color w:val="FF0000"/>
                <w:sz w:val="18"/>
                <w:szCs w:val="18"/>
                <w:lang w:eastAsia="en-GB"/>
              </w:rPr>
              <w:t>93%</w:t>
            </w:r>
          </w:p>
        </w:tc>
        <w:tc>
          <w:tcPr>
            <w:tcW w:w="851" w:type="dxa"/>
            <w:tcBorders>
              <w:top w:val="nil"/>
              <w:left w:val="nil"/>
              <w:bottom w:val="single" w:sz="4" w:space="0" w:color="auto"/>
              <w:right w:val="single" w:sz="4" w:space="0" w:color="auto"/>
            </w:tcBorders>
            <w:shd w:val="clear" w:color="auto" w:fill="auto"/>
            <w:noWrap/>
            <w:vAlign w:val="bottom"/>
            <w:hideMark/>
          </w:tcPr>
          <w:p w14:paraId="11F4A4EF" w14:textId="77777777" w:rsidR="006C3F1F" w:rsidRPr="00E718E2" w:rsidRDefault="006C3F1F" w:rsidP="00064BC1">
            <w:pPr>
              <w:spacing w:after="0"/>
              <w:rPr>
                <w:rFonts w:eastAsia="Times New Roman" w:cs="Arial"/>
                <w:color w:val="FF0000"/>
                <w:sz w:val="18"/>
                <w:szCs w:val="18"/>
                <w:lang w:eastAsia="en-GB"/>
              </w:rPr>
            </w:pPr>
            <w:r w:rsidRPr="00E718E2">
              <w:rPr>
                <w:rFonts w:eastAsia="Times New Roman" w:cs="Arial"/>
                <w:color w:val="FF0000"/>
                <w:sz w:val="18"/>
                <w:szCs w:val="18"/>
                <w:lang w:eastAsia="en-GB"/>
              </w:rPr>
              <w:t>91%</w:t>
            </w:r>
          </w:p>
        </w:tc>
        <w:tc>
          <w:tcPr>
            <w:tcW w:w="850" w:type="dxa"/>
            <w:tcBorders>
              <w:top w:val="nil"/>
              <w:left w:val="nil"/>
              <w:bottom w:val="single" w:sz="4" w:space="0" w:color="auto"/>
              <w:right w:val="single" w:sz="4" w:space="0" w:color="auto"/>
            </w:tcBorders>
            <w:shd w:val="clear" w:color="auto" w:fill="auto"/>
            <w:noWrap/>
            <w:vAlign w:val="bottom"/>
            <w:hideMark/>
          </w:tcPr>
          <w:p w14:paraId="71681FCA"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1" w:type="dxa"/>
            <w:tcBorders>
              <w:top w:val="nil"/>
              <w:left w:val="nil"/>
              <w:bottom w:val="single" w:sz="4" w:space="0" w:color="auto"/>
              <w:right w:val="single" w:sz="4" w:space="0" w:color="auto"/>
            </w:tcBorders>
            <w:shd w:val="clear" w:color="auto" w:fill="auto"/>
            <w:noWrap/>
            <w:vAlign w:val="bottom"/>
            <w:hideMark/>
          </w:tcPr>
          <w:p w14:paraId="429886B6"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0" w:type="dxa"/>
            <w:tcBorders>
              <w:top w:val="nil"/>
              <w:left w:val="nil"/>
              <w:bottom w:val="single" w:sz="4" w:space="0" w:color="auto"/>
              <w:right w:val="single" w:sz="4" w:space="0" w:color="auto"/>
            </w:tcBorders>
            <w:shd w:val="clear" w:color="auto" w:fill="auto"/>
            <w:noWrap/>
            <w:vAlign w:val="bottom"/>
            <w:hideMark/>
          </w:tcPr>
          <w:p w14:paraId="7074D78B"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709" w:type="dxa"/>
            <w:tcBorders>
              <w:top w:val="nil"/>
              <w:left w:val="nil"/>
              <w:bottom w:val="single" w:sz="4" w:space="0" w:color="auto"/>
              <w:right w:val="single" w:sz="4" w:space="0" w:color="auto"/>
            </w:tcBorders>
            <w:shd w:val="clear" w:color="auto" w:fill="auto"/>
            <w:noWrap/>
            <w:vAlign w:val="bottom"/>
            <w:hideMark/>
          </w:tcPr>
          <w:p w14:paraId="4D7DF11F" w14:textId="77777777" w:rsidR="006C3F1F" w:rsidRPr="00E718E2" w:rsidRDefault="006C3F1F" w:rsidP="00064BC1">
            <w:pPr>
              <w:spacing w:after="0"/>
              <w:rPr>
                <w:rFonts w:eastAsia="Times New Roman" w:cs="Arial"/>
                <w:color w:val="000000"/>
                <w:sz w:val="18"/>
                <w:szCs w:val="18"/>
                <w:lang w:eastAsia="en-GB"/>
              </w:rPr>
            </w:pPr>
            <w:r w:rsidRPr="00E718E2">
              <w:rPr>
                <w:rFonts w:eastAsia="Times New Roman" w:cs="Arial"/>
                <w:color w:val="FF0000"/>
                <w:sz w:val="18"/>
                <w:szCs w:val="18"/>
                <w:lang w:eastAsia="en-GB"/>
              </w:rPr>
              <w:t>71%</w:t>
            </w:r>
          </w:p>
        </w:tc>
        <w:tc>
          <w:tcPr>
            <w:tcW w:w="709" w:type="dxa"/>
            <w:tcBorders>
              <w:top w:val="nil"/>
              <w:left w:val="nil"/>
              <w:bottom w:val="single" w:sz="4" w:space="0" w:color="auto"/>
              <w:right w:val="single" w:sz="4" w:space="0" w:color="auto"/>
            </w:tcBorders>
            <w:vAlign w:val="bottom"/>
          </w:tcPr>
          <w:p w14:paraId="3FDB6678" w14:textId="5D485234" w:rsidR="006C3F1F" w:rsidRPr="00E718E2" w:rsidRDefault="006C3F1F" w:rsidP="006C3F1F">
            <w:pPr>
              <w:spacing w:after="0"/>
              <w:jc w:val="center"/>
              <w:rPr>
                <w:rFonts w:eastAsia="Times New Roman" w:cs="Arial"/>
                <w:color w:val="FF0000"/>
                <w:sz w:val="18"/>
                <w:szCs w:val="18"/>
                <w:lang w:eastAsia="en-GB"/>
              </w:rPr>
            </w:pPr>
            <w:r w:rsidRPr="00E718E2">
              <w:rPr>
                <w:rFonts w:eastAsia="Times New Roman" w:cs="Arial"/>
                <w:color w:val="FF0000"/>
                <w:sz w:val="18"/>
                <w:szCs w:val="18"/>
                <w:lang w:eastAsia="en-GB"/>
              </w:rPr>
              <w:t>94%</w:t>
            </w:r>
          </w:p>
        </w:tc>
      </w:tr>
      <w:tr w:rsidR="00E718E2" w:rsidRPr="00064BC1" w14:paraId="4B64A6C4" w14:textId="5EF6DC76" w:rsidTr="00E718E2">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C798315" w14:textId="77777777" w:rsidR="006C3F1F" w:rsidRPr="00E718E2" w:rsidRDefault="006C3F1F" w:rsidP="00064BC1">
            <w:pPr>
              <w:spacing w:after="0"/>
              <w:rPr>
                <w:rFonts w:eastAsia="Times New Roman" w:cs="Arial"/>
                <w:b/>
                <w:color w:val="000000"/>
                <w:sz w:val="18"/>
                <w:szCs w:val="18"/>
                <w:lang w:eastAsia="en-GB"/>
              </w:rPr>
            </w:pPr>
            <w:r w:rsidRPr="00E718E2">
              <w:rPr>
                <w:rFonts w:eastAsia="Times New Roman" w:cs="Arial"/>
                <w:b/>
                <w:color w:val="000000"/>
                <w:sz w:val="18"/>
                <w:szCs w:val="18"/>
                <w:lang w:eastAsia="en-GB"/>
              </w:rPr>
              <w:t>Corp/Ent</w:t>
            </w:r>
          </w:p>
        </w:tc>
        <w:tc>
          <w:tcPr>
            <w:tcW w:w="851" w:type="dxa"/>
            <w:tcBorders>
              <w:top w:val="nil"/>
              <w:left w:val="nil"/>
              <w:bottom w:val="single" w:sz="4" w:space="0" w:color="auto"/>
              <w:right w:val="single" w:sz="4" w:space="0" w:color="auto"/>
            </w:tcBorders>
            <w:shd w:val="clear" w:color="auto" w:fill="auto"/>
            <w:noWrap/>
            <w:vAlign w:val="bottom"/>
            <w:hideMark/>
          </w:tcPr>
          <w:p w14:paraId="4CA689E1" w14:textId="77777777" w:rsidR="006C3F1F" w:rsidRPr="00E718E2" w:rsidRDefault="006C3F1F" w:rsidP="00064BC1">
            <w:pPr>
              <w:spacing w:after="0"/>
              <w:rPr>
                <w:rFonts w:eastAsia="Times New Roman" w:cs="Arial"/>
                <w:color w:val="000000"/>
                <w:sz w:val="18"/>
                <w:szCs w:val="18"/>
                <w:lang w:eastAsia="en-GB"/>
              </w:rPr>
            </w:pPr>
            <w:r w:rsidRPr="00E718E2">
              <w:rPr>
                <w:rFonts w:eastAsia="Times New Roman" w:cs="Arial"/>
                <w:color w:val="FF0000"/>
                <w:sz w:val="18"/>
                <w:szCs w:val="18"/>
                <w:lang w:eastAsia="en-GB"/>
              </w:rPr>
              <w:t>33%</w:t>
            </w:r>
          </w:p>
        </w:tc>
        <w:tc>
          <w:tcPr>
            <w:tcW w:w="851" w:type="dxa"/>
            <w:tcBorders>
              <w:top w:val="nil"/>
              <w:left w:val="nil"/>
              <w:bottom w:val="single" w:sz="4" w:space="0" w:color="auto"/>
              <w:right w:val="single" w:sz="4" w:space="0" w:color="auto"/>
            </w:tcBorders>
            <w:shd w:val="clear" w:color="auto" w:fill="auto"/>
            <w:noWrap/>
            <w:vAlign w:val="bottom"/>
            <w:hideMark/>
          </w:tcPr>
          <w:p w14:paraId="2C0460FE"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0" w:type="dxa"/>
            <w:tcBorders>
              <w:top w:val="nil"/>
              <w:left w:val="nil"/>
              <w:bottom w:val="single" w:sz="4" w:space="0" w:color="auto"/>
              <w:right w:val="single" w:sz="4" w:space="0" w:color="auto"/>
            </w:tcBorders>
            <w:shd w:val="clear" w:color="auto" w:fill="auto"/>
            <w:noWrap/>
            <w:vAlign w:val="bottom"/>
            <w:hideMark/>
          </w:tcPr>
          <w:p w14:paraId="3F09CB76"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1" w:type="dxa"/>
            <w:tcBorders>
              <w:top w:val="nil"/>
              <w:left w:val="nil"/>
              <w:bottom w:val="single" w:sz="4" w:space="0" w:color="auto"/>
              <w:right w:val="single" w:sz="4" w:space="0" w:color="auto"/>
            </w:tcBorders>
            <w:shd w:val="clear" w:color="auto" w:fill="auto"/>
            <w:noWrap/>
            <w:vAlign w:val="bottom"/>
            <w:hideMark/>
          </w:tcPr>
          <w:p w14:paraId="75CF49E0"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0" w:type="dxa"/>
            <w:tcBorders>
              <w:top w:val="nil"/>
              <w:left w:val="nil"/>
              <w:bottom w:val="single" w:sz="4" w:space="0" w:color="auto"/>
              <w:right w:val="single" w:sz="4" w:space="0" w:color="auto"/>
            </w:tcBorders>
            <w:shd w:val="clear" w:color="auto" w:fill="auto"/>
            <w:noWrap/>
            <w:vAlign w:val="bottom"/>
            <w:hideMark/>
          </w:tcPr>
          <w:p w14:paraId="2C5218AD"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1" w:type="dxa"/>
            <w:tcBorders>
              <w:top w:val="nil"/>
              <w:left w:val="nil"/>
              <w:bottom w:val="single" w:sz="4" w:space="0" w:color="auto"/>
              <w:right w:val="single" w:sz="4" w:space="0" w:color="auto"/>
            </w:tcBorders>
            <w:shd w:val="clear" w:color="auto" w:fill="auto"/>
            <w:noWrap/>
            <w:vAlign w:val="bottom"/>
            <w:hideMark/>
          </w:tcPr>
          <w:p w14:paraId="648979E4"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0" w:type="dxa"/>
            <w:tcBorders>
              <w:top w:val="nil"/>
              <w:left w:val="nil"/>
              <w:bottom w:val="single" w:sz="4" w:space="0" w:color="auto"/>
              <w:right w:val="single" w:sz="4" w:space="0" w:color="auto"/>
            </w:tcBorders>
            <w:shd w:val="clear" w:color="auto" w:fill="auto"/>
            <w:noWrap/>
            <w:vAlign w:val="bottom"/>
            <w:hideMark/>
          </w:tcPr>
          <w:p w14:paraId="0915FFE4"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1" w:type="dxa"/>
            <w:tcBorders>
              <w:top w:val="nil"/>
              <w:left w:val="nil"/>
              <w:bottom w:val="single" w:sz="4" w:space="0" w:color="auto"/>
              <w:right w:val="single" w:sz="4" w:space="0" w:color="auto"/>
            </w:tcBorders>
            <w:shd w:val="clear" w:color="auto" w:fill="auto"/>
            <w:noWrap/>
            <w:vAlign w:val="bottom"/>
            <w:hideMark/>
          </w:tcPr>
          <w:p w14:paraId="2C067C0F"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0" w:type="dxa"/>
            <w:tcBorders>
              <w:top w:val="nil"/>
              <w:left w:val="nil"/>
              <w:bottom w:val="single" w:sz="4" w:space="0" w:color="auto"/>
              <w:right w:val="single" w:sz="4" w:space="0" w:color="auto"/>
            </w:tcBorders>
            <w:shd w:val="clear" w:color="auto" w:fill="auto"/>
            <w:noWrap/>
            <w:vAlign w:val="bottom"/>
            <w:hideMark/>
          </w:tcPr>
          <w:p w14:paraId="0FD22810"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1" w:type="dxa"/>
            <w:tcBorders>
              <w:top w:val="nil"/>
              <w:left w:val="nil"/>
              <w:bottom w:val="single" w:sz="4" w:space="0" w:color="auto"/>
              <w:right w:val="single" w:sz="4" w:space="0" w:color="auto"/>
            </w:tcBorders>
            <w:shd w:val="clear" w:color="auto" w:fill="auto"/>
            <w:noWrap/>
            <w:vAlign w:val="bottom"/>
            <w:hideMark/>
          </w:tcPr>
          <w:p w14:paraId="0C57B4C6"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0" w:type="dxa"/>
            <w:tcBorders>
              <w:top w:val="nil"/>
              <w:left w:val="nil"/>
              <w:bottom w:val="single" w:sz="4" w:space="0" w:color="auto"/>
              <w:right w:val="single" w:sz="4" w:space="0" w:color="auto"/>
            </w:tcBorders>
            <w:shd w:val="clear" w:color="auto" w:fill="auto"/>
            <w:noWrap/>
            <w:vAlign w:val="bottom"/>
            <w:hideMark/>
          </w:tcPr>
          <w:p w14:paraId="1BBEC3EF"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709" w:type="dxa"/>
            <w:tcBorders>
              <w:top w:val="nil"/>
              <w:left w:val="nil"/>
              <w:bottom w:val="single" w:sz="4" w:space="0" w:color="auto"/>
              <w:right w:val="single" w:sz="4" w:space="0" w:color="auto"/>
            </w:tcBorders>
            <w:shd w:val="clear" w:color="auto" w:fill="auto"/>
            <w:noWrap/>
            <w:vAlign w:val="bottom"/>
            <w:hideMark/>
          </w:tcPr>
          <w:p w14:paraId="006F5D8D"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709" w:type="dxa"/>
            <w:tcBorders>
              <w:top w:val="nil"/>
              <w:left w:val="nil"/>
              <w:bottom w:val="single" w:sz="4" w:space="0" w:color="auto"/>
              <w:right w:val="single" w:sz="4" w:space="0" w:color="auto"/>
            </w:tcBorders>
            <w:vAlign w:val="bottom"/>
          </w:tcPr>
          <w:p w14:paraId="3F749706" w14:textId="0495E438" w:rsidR="006C3F1F" w:rsidRPr="00E718E2" w:rsidRDefault="006C3F1F" w:rsidP="006C3F1F">
            <w:pPr>
              <w:spacing w:after="0"/>
              <w:jc w:val="center"/>
              <w:rPr>
                <w:rFonts w:eastAsia="Times New Roman" w:cs="Arial"/>
                <w:color w:val="00B050"/>
                <w:sz w:val="18"/>
                <w:szCs w:val="18"/>
                <w:lang w:eastAsia="en-GB"/>
              </w:rPr>
            </w:pPr>
            <w:r w:rsidRPr="00E718E2">
              <w:rPr>
                <w:rFonts w:eastAsia="Times New Roman" w:cs="Arial"/>
                <w:color w:val="00B050"/>
                <w:sz w:val="18"/>
                <w:szCs w:val="18"/>
                <w:lang w:eastAsia="en-GB"/>
              </w:rPr>
              <w:t>95%</w:t>
            </w:r>
          </w:p>
        </w:tc>
      </w:tr>
      <w:tr w:rsidR="00E718E2" w:rsidRPr="00064BC1" w14:paraId="755208CD" w14:textId="76D29A31" w:rsidTr="00E718E2">
        <w:trPr>
          <w:trHeight w:val="4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F5E7E0D" w14:textId="77777777" w:rsidR="006C3F1F" w:rsidRPr="00E718E2" w:rsidRDefault="006C3F1F" w:rsidP="00064BC1">
            <w:pPr>
              <w:spacing w:after="0"/>
              <w:rPr>
                <w:rFonts w:eastAsia="Times New Roman" w:cs="Arial"/>
                <w:b/>
                <w:color w:val="000000"/>
                <w:sz w:val="18"/>
                <w:szCs w:val="18"/>
                <w:lang w:eastAsia="en-GB"/>
              </w:rPr>
            </w:pPr>
            <w:r w:rsidRPr="00E718E2">
              <w:rPr>
                <w:rFonts w:eastAsia="Times New Roman" w:cs="Arial"/>
                <w:b/>
                <w:color w:val="000000"/>
                <w:sz w:val="18"/>
                <w:szCs w:val="18"/>
                <w:lang w:eastAsia="en-GB"/>
              </w:rPr>
              <w:t>WLCH</w:t>
            </w:r>
          </w:p>
        </w:tc>
        <w:tc>
          <w:tcPr>
            <w:tcW w:w="851" w:type="dxa"/>
            <w:tcBorders>
              <w:top w:val="nil"/>
              <w:left w:val="nil"/>
              <w:bottom w:val="single" w:sz="4" w:space="0" w:color="auto"/>
              <w:right w:val="single" w:sz="4" w:space="0" w:color="auto"/>
            </w:tcBorders>
            <w:shd w:val="clear" w:color="auto" w:fill="auto"/>
            <w:noWrap/>
            <w:vAlign w:val="bottom"/>
            <w:hideMark/>
          </w:tcPr>
          <w:p w14:paraId="17169DA7" w14:textId="77777777" w:rsidR="006C3F1F" w:rsidRPr="00E718E2" w:rsidRDefault="006C3F1F" w:rsidP="00064BC1">
            <w:pPr>
              <w:spacing w:after="0"/>
              <w:rPr>
                <w:rFonts w:eastAsia="Times New Roman" w:cs="Arial"/>
                <w:color w:val="000000"/>
                <w:sz w:val="18"/>
                <w:szCs w:val="18"/>
                <w:lang w:eastAsia="en-GB"/>
              </w:rPr>
            </w:pPr>
            <w:r w:rsidRPr="00E718E2">
              <w:rPr>
                <w:rFonts w:eastAsia="Times New Roman" w:cs="Arial"/>
                <w:color w:val="00B050"/>
                <w:sz w:val="18"/>
                <w:szCs w:val="18"/>
                <w:lang w:eastAsia="en-GB"/>
              </w:rPr>
              <w:t>100%</w:t>
            </w:r>
          </w:p>
        </w:tc>
        <w:tc>
          <w:tcPr>
            <w:tcW w:w="851" w:type="dxa"/>
            <w:tcBorders>
              <w:top w:val="nil"/>
              <w:left w:val="nil"/>
              <w:bottom w:val="single" w:sz="4" w:space="0" w:color="auto"/>
              <w:right w:val="single" w:sz="4" w:space="0" w:color="auto"/>
            </w:tcBorders>
            <w:shd w:val="clear" w:color="auto" w:fill="auto"/>
            <w:noWrap/>
            <w:vAlign w:val="bottom"/>
            <w:hideMark/>
          </w:tcPr>
          <w:p w14:paraId="59AADCEB"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0" w:type="dxa"/>
            <w:tcBorders>
              <w:top w:val="nil"/>
              <w:left w:val="nil"/>
              <w:bottom w:val="single" w:sz="4" w:space="0" w:color="auto"/>
              <w:right w:val="single" w:sz="4" w:space="0" w:color="auto"/>
            </w:tcBorders>
            <w:shd w:val="clear" w:color="auto" w:fill="auto"/>
            <w:noWrap/>
            <w:vAlign w:val="bottom"/>
            <w:hideMark/>
          </w:tcPr>
          <w:p w14:paraId="0AEA07A1"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1" w:type="dxa"/>
            <w:tcBorders>
              <w:top w:val="nil"/>
              <w:left w:val="nil"/>
              <w:bottom w:val="single" w:sz="4" w:space="0" w:color="auto"/>
              <w:right w:val="single" w:sz="4" w:space="0" w:color="auto"/>
            </w:tcBorders>
            <w:shd w:val="clear" w:color="auto" w:fill="auto"/>
            <w:noWrap/>
            <w:vAlign w:val="bottom"/>
            <w:hideMark/>
          </w:tcPr>
          <w:p w14:paraId="4F336050"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0" w:type="dxa"/>
            <w:tcBorders>
              <w:top w:val="nil"/>
              <w:left w:val="nil"/>
              <w:bottom w:val="single" w:sz="4" w:space="0" w:color="auto"/>
              <w:right w:val="single" w:sz="4" w:space="0" w:color="auto"/>
            </w:tcBorders>
            <w:shd w:val="clear" w:color="auto" w:fill="auto"/>
            <w:noWrap/>
            <w:vAlign w:val="bottom"/>
            <w:hideMark/>
          </w:tcPr>
          <w:p w14:paraId="0102B914"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1" w:type="dxa"/>
            <w:tcBorders>
              <w:top w:val="nil"/>
              <w:left w:val="nil"/>
              <w:bottom w:val="single" w:sz="4" w:space="0" w:color="auto"/>
              <w:right w:val="single" w:sz="4" w:space="0" w:color="auto"/>
            </w:tcBorders>
            <w:shd w:val="clear" w:color="auto" w:fill="auto"/>
            <w:noWrap/>
            <w:vAlign w:val="bottom"/>
            <w:hideMark/>
          </w:tcPr>
          <w:p w14:paraId="6082E9D6"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0" w:type="dxa"/>
            <w:tcBorders>
              <w:top w:val="nil"/>
              <w:left w:val="nil"/>
              <w:bottom w:val="single" w:sz="4" w:space="0" w:color="auto"/>
              <w:right w:val="single" w:sz="4" w:space="0" w:color="auto"/>
            </w:tcBorders>
            <w:shd w:val="clear" w:color="auto" w:fill="auto"/>
            <w:noWrap/>
            <w:vAlign w:val="bottom"/>
            <w:hideMark/>
          </w:tcPr>
          <w:p w14:paraId="1951B214"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1" w:type="dxa"/>
            <w:tcBorders>
              <w:top w:val="nil"/>
              <w:left w:val="nil"/>
              <w:bottom w:val="single" w:sz="4" w:space="0" w:color="auto"/>
              <w:right w:val="single" w:sz="4" w:space="0" w:color="auto"/>
            </w:tcBorders>
            <w:shd w:val="clear" w:color="auto" w:fill="auto"/>
            <w:noWrap/>
            <w:vAlign w:val="bottom"/>
            <w:hideMark/>
          </w:tcPr>
          <w:p w14:paraId="6E296774"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0" w:type="dxa"/>
            <w:tcBorders>
              <w:top w:val="nil"/>
              <w:left w:val="nil"/>
              <w:bottom w:val="single" w:sz="4" w:space="0" w:color="auto"/>
              <w:right w:val="single" w:sz="4" w:space="0" w:color="auto"/>
            </w:tcBorders>
            <w:shd w:val="clear" w:color="auto" w:fill="auto"/>
            <w:noWrap/>
            <w:vAlign w:val="bottom"/>
            <w:hideMark/>
          </w:tcPr>
          <w:p w14:paraId="4572C434"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1" w:type="dxa"/>
            <w:tcBorders>
              <w:top w:val="nil"/>
              <w:left w:val="nil"/>
              <w:bottom w:val="single" w:sz="4" w:space="0" w:color="auto"/>
              <w:right w:val="single" w:sz="4" w:space="0" w:color="auto"/>
            </w:tcBorders>
            <w:shd w:val="clear" w:color="auto" w:fill="auto"/>
            <w:noWrap/>
            <w:vAlign w:val="bottom"/>
            <w:hideMark/>
          </w:tcPr>
          <w:p w14:paraId="5EDDCA7E"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0" w:type="dxa"/>
            <w:tcBorders>
              <w:top w:val="nil"/>
              <w:left w:val="nil"/>
              <w:bottom w:val="single" w:sz="4" w:space="0" w:color="auto"/>
              <w:right w:val="single" w:sz="4" w:space="0" w:color="auto"/>
            </w:tcBorders>
            <w:shd w:val="clear" w:color="auto" w:fill="auto"/>
            <w:noWrap/>
            <w:vAlign w:val="bottom"/>
            <w:hideMark/>
          </w:tcPr>
          <w:p w14:paraId="7DAE282D"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709" w:type="dxa"/>
            <w:tcBorders>
              <w:top w:val="nil"/>
              <w:left w:val="nil"/>
              <w:bottom w:val="single" w:sz="4" w:space="0" w:color="auto"/>
              <w:right w:val="single" w:sz="4" w:space="0" w:color="auto"/>
            </w:tcBorders>
            <w:shd w:val="clear" w:color="auto" w:fill="auto"/>
            <w:noWrap/>
            <w:vAlign w:val="bottom"/>
            <w:hideMark/>
          </w:tcPr>
          <w:p w14:paraId="1D482F79"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709" w:type="dxa"/>
            <w:tcBorders>
              <w:top w:val="nil"/>
              <w:left w:val="nil"/>
              <w:bottom w:val="single" w:sz="4" w:space="0" w:color="auto"/>
              <w:right w:val="single" w:sz="4" w:space="0" w:color="auto"/>
            </w:tcBorders>
            <w:vAlign w:val="bottom"/>
          </w:tcPr>
          <w:p w14:paraId="087241EA" w14:textId="1E18D1B0" w:rsidR="006C3F1F" w:rsidRPr="00E718E2" w:rsidRDefault="006C3F1F" w:rsidP="006C3F1F">
            <w:pPr>
              <w:spacing w:after="0"/>
              <w:jc w:val="center"/>
              <w:rPr>
                <w:rFonts w:eastAsia="Times New Roman" w:cs="Arial"/>
                <w:color w:val="00B050"/>
                <w:sz w:val="18"/>
                <w:szCs w:val="18"/>
                <w:lang w:eastAsia="en-GB"/>
              </w:rPr>
            </w:pPr>
            <w:r w:rsidRPr="00E718E2">
              <w:rPr>
                <w:rFonts w:eastAsia="Times New Roman" w:cs="Arial"/>
                <w:color w:val="00B050"/>
                <w:sz w:val="18"/>
                <w:szCs w:val="18"/>
                <w:lang w:eastAsia="en-GB"/>
              </w:rPr>
              <w:t>100%</w:t>
            </w:r>
          </w:p>
        </w:tc>
      </w:tr>
      <w:tr w:rsidR="00E718E2" w:rsidRPr="00064BC1" w14:paraId="3178F8BA" w14:textId="22576814" w:rsidTr="00E718E2">
        <w:trPr>
          <w:trHeight w:val="4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288420" w14:textId="224667C9" w:rsidR="006C3F1F" w:rsidRPr="00E718E2" w:rsidRDefault="00E718E2" w:rsidP="00064BC1">
            <w:pPr>
              <w:spacing w:after="0"/>
              <w:rPr>
                <w:rFonts w:eastAsia="Times New Roman" w:cs="Arial"/>
                <w:b/>
                <w:color w:val="000000"/>
                <w:sz w:val="18"/>
                <w:szCs w:val="18"/>
                <w:lang w:eastAsia="en-GB"/>
              </w:rPr>
            </w:pPr>
            <w:r w:rsidRPr="00E718E2">
              <w:rPr>
                <w:rFonts w:eastAsia="Times New Roman" w:cs="Arial"/>
                <w:b/>
                <w:color w:val="000000"/>
                <w:sz w:val="18"/>
                <w:szCs w:val="18"/>
                <w:lang w:eastAsia="en-GB"/>
              </w:rPr>
              <w:t>Month KPI</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1AFF2" w14:textId="77777777" w:rsidR="006C3F1F" w:rsidRPr="00E718E2" w:rsidRDefault="006C3F1F" w:rsidP="00064BC1">
            <w:pPr>
              <w:spacing w:after="0"/>
              <w:rPr>
                <w:rFonts w:eastAsia="Times New Roman" w:cs="Arial"/>
                <w:color w:val="FF0000"/>
                <w:sz w:val="18"/>
                <w:szCs w:val="18"/>
                <w:lang w:eastAsia="en-GB"/>
              </w:rPr>
            </w:pPr>
            <w:r w:rsidRPr="00E718E2">
              <w:rPr>
                <w:rFonts w:eastAsia="Times New Roman" w:cs="Arial"/>
                <w:color w:val="FF0000"/>
                <w:sz w:val="18"/>
                <w:szCs w:val="18"/>
                <w:lang w:eastAsia="en-GB"/>
              </w:rPr>
              <w:t>84%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A7951A" w14:textId="77777777" w:rsidR="006C3F1F" w:rsidRPr="00E718E2" w:rsidRDefault="006C3F1F" w:rsidP="00064BC1">
            <w:pPr>
              <w:spacing w:after="0"/>
              <w:rPr>
                <w:rFonts w:eastAsia="Times New Roman" w:cs="Arial"/>
                <w:color w:val="FF0000"/>
                <w:sz w:val="18"/>
                <w:szCs w:val="18"/>
                <w:lang w:eastAsia="en-GB"/>
              </w:rPr>
            </w:pPr>
            <w:r w:rsidRPr="00E718E2">
              <w:rPr>
                <w:rFonts w:eastAsia="Times New Roman" w:cs="Arial"/>
                <w:color w:val="FF0000"/>
                <w:sz w:val="18"/>
                <w:szCs w:val="18"/>
                <w:lang w:eastAsia="en-GB"/>
              </w:rPr>
              <w:t>93%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0FFD82"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7D2FD3" w14:textId="77777777" w:rsidR="006C3F1F" w:rsidRPr="00E718E2" w:rsidRDefault="006C3F1F" w:rsidP="00064BC1">
            <w:pPr>
              <w:spacing w:after="0"/>
              <w:rPr>
                <w:rFonts w:eastAsia="Times New Roman" w:cs="Arial"/>
                <w:color w:val="FF0000"/>
                <w:sz w:val="18"/>
                <w:szCs w:val="18"/>
                <w:lang w:eastAsia="en-GB"/>
              </w:rPr>
            </w:pPr>
            <w:r w:rsidRPr="00E718E2">
              <w:rPr>
                <w:rFonts w:eastAsia="Times New Roman" w:cs="Arial"/>
                <w:color w:val="FF0000"/>
                <w:sz w:val="18"/>
                <w:szCs w:val="18"/>
                <w:lang w:eastAsia="en-GB"/>
              </w:rPr>
              <w:t>90%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A0BC6C" w14:textId="77777777" w:rsidR="006C3F1F" w:rsidRPr="00E718E2" w:rsidRDefault="006C3F1F" w:rsidP="00064BC1">
            <w:pPr>
              <w:spacing w:after="0"/>
              <w:rPr>
                <w:rFonts w:eastAsia="Times New Roman" w:cs="Arial"/>
                <w:color w:val="FF0000"/>
                <w:sz w:val="18"/>
                <w:szCs w:val="18"/>
                <w:lang w:eastAsia="en-GB"/>
              </w:rPr>
            </w:pPr>
            <w:r w:rsidRPr="00E718E2">
              <w:rPr>
                <w:rFonts w:eastAsia="Times New Roman" w:cs="Arial"/>
                <w:color w:val="FF0000"/>
                <w:sz w:val="18"/>
                <w:szCs w:val="18"/>
                <w:lang w:eastAsia="en-GB"/>
              </w:rPr>
              <w:t>89%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693DFE" w14:textId="77777777" w:rsidR="006C3F1F" w:rsidRPr="00E718E2" w:rsidRDefault="006C3F1F" w:rsidP="00064BC1">
            <w:pPr>
              <w:spacing w:after="0"/>
              <w:rPr>
                <w:rFonts w:eastAsia="Times New Roman" w:cs="Arial"/>
                <w:color w:val="FF0000"/>
                <w:sz w:val="18"/>
                <w:szCs w:val="18"/>
                <w:lang w:eastAsia="en-GB"/>
              </w:rPr>
            </w:pPr>
            <w:r w:rsidRPr="00E718E2">
              <w:rPr>
                <w:rFonts w:eastAsia="Times New Roman" w:cs="Arial"/>
                <w:color w:val="FF0000"/>
                <w:sz w:val="18"/>
                <w:szCs w:val="18"/>
                <w:lang w:eastAsia="en-GB"/>
              </w:rPr>
              <w:t>91%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7C3369" w14:textId="77777777" w:rsidR="006C3F1F" w:rsidRPr="00E718E2" w:rsidRDefault="006C3F1F" w:rsidP="00064BC1">
            <w:pPr>
              <w:spacing w:after="0"/>
              <w:rPr>
                <w:rFonts w:eastAsia="Times New Roman" w:cs="Arial"/>
                <w:color w:val="FF0000"/>
                <w:sz w:val="18"/>
                <w:szCs w:val="18"/>
                <w:lang w:eastAsia="en-GB"/>
              </w:rPr>
            </w:pPr>
            <w:r w:rsidRPr="00E718E2">
              <w:rPr>
                <w:rFonts w:eastAsia="Times New Roman" w:cs="Arial"/>
                <w:color w:val="FF0000"/>
                <w:sz w:val="18"/>
                <w:szCs w:val="18"/>
                <w:lang w:eastAsia="en-GB"/>
              </w:rPr>
              <w:t>84%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CCF978" w14:textId="77777777" w:rsidR="006C3F1F" w:rsidRPr="00E718E2" w:rsidRDefault="006C3F1F" w:rsidP="00064BC1">
            <w:pPr>
              <w:spacing w:after="0"/>
              <w:rPr>
                <w:rFonts w:eastAsia="Times New Roman" w:cs="Arial"/>
                <w:color w:val="FF0000"/>
                <w:sz w:val="18"/>
                <w:szCs w:val="18"/>
                <w:lang w:eastAsia="en-GB"/>
              </w:rPr>
            </w:pPr>
            <w:r w:rsidRPr="00E718E2">
              <w:rPr>
                <w:rFonts w:eastAsia="Times New Roman" w:cs="Arial"/>
                <w:color w:val="FF0000"/>
                <w:sz w:val="18"/>
                <w:szCs w:val="18"/>
                <w:lang w:eastAsia="en-GB"/>
              </w:rPr>
              <w:t>83%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8B3E85" w14:textId="77777777" w:rsidR="006C3F1F" w:rsidRPr="00E718E2" w:rsidRDefault="006C3F1F" w:rsidP="00064BC1">
            <w:pPr>
              <w:spacing w:after="0"/>
              <w:rPr>
                <w:rFonts w:eastAsia="Times New Roman" w:cs="Arial"/>
                <w:color w:val="FF0000"/>
                <w:sz w:val="18"/>
                <w:szCs w:val="18"/>
                <w:lang w:eastAsia="en-GB"/>
              </w:rPr>
            </w:pPr>
            <w:r w:rsidRPr="00E718E2">
              <w:rPr>
                <w:rFonts w:eastAsia="Times New Roman" w:cs="Arial"/>
                <w:color w:val="FF0000"/>
                <w:sz w:val="18"/>
                <w:szCs w:val="18"/>
                <w:lang w:eastAsia="en-GB"/>
              </w:rPr>
              <w:t>88%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EA4A8F"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97%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3B2C69" w14:textId="77777777" w:rsidR="006C3F1F" w:rsidRPr="00E718E2" w:rsidRDefault="006C3F1F" w:rsidP="00064BC1">
            <w:pPr>
              <w:spacing w:after="0"/>
              <w:rPr>
                <w:rFonts w:eastAsia="Times New Roman" w:cs="Arial"/>
                <w:color w:val="00B050"/>
                <w:sz w:val="18"/>
                <w:szCs w:val="18"/>
                <w:lang w:eastAsia="en-GB"/>
              </w:rPr>
            </w:pPr>
            <w:r w:rsidRPr="00E718E2">
              <w:rPr>
                <w:rFonts w:eastAsia="Times New Roman" w:cs="Arial"/>
                <w:color w:val="00B050"/>
                <w:sz w:val="18"/>
                <w:szCs w:val="18"/>
                <w:lang w:eastAsia="en-GB"/>
              </w:rPr>
              <w:t>95%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239787" w14:textId="77777777" w:rsidR="006C3F1F" w:rsidRPr="00E718E2" w:rsidRDefault="006C3F1F" w:rsidP="00064BC1">
            <w:pPr>
              <w:spacing w:after="0"/>
              <w:rPr>
                <w:rFonts w:eastAsia="Times New Roman" w:cs="Arial"/>
                <w:color w:val="000000"/>
                <w:sz w:val="18"/>
                <w:szCs w:val="18"/>
                <w:lang w:eastAsia="en-GB"/>
              </w:rPr>
            </w:pPr>
            <w:r w:rsidRPr="00E718E2">
              <w:rPr>
                <w:rFonts w:eastAsia="Times New Roman" w:cs="Arial"/>
                <w:color w:val="FF0000"/>
                <w:sz w:val="18"/>
                <w:szCs w:val="18"/>
                <w:lang w:eastAsia="en-GB"/>
              </w:rPr>
              <w:t>85%</w:t>
            </w:r>
          </w:p>
        </w:tc>
        <w:tc>
          <w:tcPr>
            <w:tcW w:w="709" w:type="dxa"/>
            <w:tcBorders>
              <w:top w:val="single" w:sz="4" w:space="0" w:color="auto"/>
              <w:left w:val="single" w:sz="4" w:space="0" w:color="auto"/>
              <w:bottom w:val="single" w:sz="4" w:space="0" w:color="auto"/>
              <w:right w:val="single" w:sz="4" w:space="0" w:color="auto"/>
            </w:tcBorders>
            <w:vAlign w:val="bottom"/>
          </w:tcPr>
          <w:p w14:paraId="0E409857" w14:textId="21FB4180" w:rsidR="006C3F1F" w:rsidRPr="00E718E2" w:rsidRDefault="00E718E2" w:rsidP="006C3F1F">
            <w:pPr>
              <w:spacing w:after="0"/>
              <w:jc w:val="center"/>
              <w:rPr>
                <w:rFonts w:eastAsia="Times New Roman" w:cs="Arial"/>
                <w:color w:val="FF0000"/>
                <w:sz w:val="18"/>
                <w:szCs w:val="18"/>
                <w:lang w:eastAsia="en-GB"/>
              </w:rPr>
            </w:pPr>
            <w:r w:rsidRPr="00E718E2">
              <w:rPr>
                <w:rFonts w:eastAsia="Times New Roman" w:cs="Arial"/>
                <w:color w:val="FF0000"/>
                <w:sz w:val="18"/>
                <w:szCs w:val="18"/>
                <w:lang w:eastAsia="en-GB"/>
              </w:rPr>
              <w:t>25</w:t>
            </w:r>
            <w:r w:rsidR="006C3F1F" w:rsidRPr="00E718E2">
              <w:rPr>
                <w:rFonts w:eastAsia="Times New Roman" w:cs="Arial"/>
                <w:color w:val="FF0000"/>
                <w:sz w:val="18"/>
                <w:szCs w:val="18"/>
                <w:lang w:eastAsia="en-GB"/>
              </w:rPr>
              <w:t>%</w:t>
            </w:r>
          </w:p>
        </w:tc>
      </w:tr>
    </w:tbl>
    <w:p w14:paraId="08EAB384" w14:textId="77777777" w:rsidR="004540A7" w:rsidRPr="002D1C7E" w:rsidRDefault="004540A7" w:rsidP="004540A7">
      <w:pPr>
        <w:spacing w:after="0"/>
        <w:jc w:val="both"/>
        <w:rPr>
          <w:rFonts w:cs="Arial"/>
        </w:rPr>
      </w:pPr>
    </w:p>
    <w:p w14:paraId="0C7C4322" w14:textId="77777777" w:rsidR="00E718E2" w:rsidRDefault="00E718E2" w:rsidP="004540A7">
      <w:pPr>
        <w:spacing w:after="0"/>
        <w:rPr>
          <w:rFonts w:cs="Arial"/>
          <w:b/>
          <w:sz w:val="22"/>
        </w:rPr>
      </w:pPr>
    </w:p>
    <w:p w14:paraId="3D60FC1E" w14:textId="77777777" w:rsidR="00E718E2" w:rsidRDefault="00E718E2" w:rsidP="004540A7">
      <w:pPr>
        <w:spacing w:after="0"/>
        <w:rPr>
          <w:rFonts w:cs="Arial"/>
          <w:b/>
          <w:sz w:val="22"/>
        </w:rPr>
      </w:pPr>
    </w:p>
    <w:p w14:paraId="740EAFF6" w14:textId="77777777" w:rsidR="00E718E2" w:rsidRDefault="00E718E2" w:rsidP="004540A7">
      <w:pPr>
        <w:spacing w:after="0"/>
        <w:rPr>
          <w:rFonts w:cs="Arial"/>
          <w:b/>
          <w:sz w:val="22"/>
        </w:rPr>
      </w:pPr>
    </w:p>
    <w:p w14:paraId="5A17DEAF" w14:textId="77777777" w:rsidR="00E718E2" w:rsidRDefault="00E718E2" w:rsidP="004540A7">
      <w:pPr>
        <w:spacing w:after="0"/>
        <w:rPr>
          <w:rFonts w:cs="Arial"/>
          <w:b/>
          <w:sz w:val="22"/>
        </w:rPr>
      </w:pPr>
    </w:p>
    <w:p w14:paraId="252F2337" w14:textId="77777777" w:rsidR="00E718E2" w:rsidRDefault="00E718E2" w:rsidP="004540A7">
      <w:pPr>
        <w:spacing w:after="0"/>
        <w:rPr>
          <w:rFonts w:cs="Arial"/>
          <w:b/>
          <w:sz w:val="22"/>
        </w:rPr>
      </w:pPr>
    </w:p>
    <w:p w14:paraId="0C281E88" w14:textId="77777777" w:rsidR="00E718E2" w:rsidRDefault="00E718E2" w:rsidP="004540A7">
      <w:pPr>
        <w:spacing w:after="0"/>
        <w:rPr>
          <w:rFonts w:cs="Arial"/>
          <w:b/>
          <w:sz w:val="22"/>
        </w:rPr>
      </w:pPr>
    </w:p>
    <w:p w14:paraId="33B4B9D8" w14:textId="77777777" w:rsidR="00E718E2" w:rsidRDefault="00E718E2" w:rsidP="004540A7">
      <w:pPr>
        <w:spacing w:after="0"/>
        <w:rPr>
          <w:rFonts w:cs="Arial"/>
          <w:b/>
          <w:sz w:val="22"/>
        </w:rPr>
      </w:pPr>
    </w:p>
    <w:p w14:paraId="0D7ACD79" w14:textId="77777777" w:rsidR="00E718E2" w:rsidRDefault="00E718E2" w:rsidP="004540A7">
      <w:pPr>
        <w:spacing w:after="0"/>
        <w:rPr>
          <w:rFonts w:cs="Arial"/>
          <w:b/>
          <w:sz w:val="22"/>
        </w:rPr>
      </w:pPr>
    </w:p>
    <w:p w14:paraId="527623B9" w14:textId="77777777" w:rsidR="00E718E2" w:rsidRDefault="00E718E2" w:rsidP="004540A7">
      <w:pPr>
        <w:spacing w:after="0"/>
        <w:rPr>
          <w:rFonts w:cs="Arial"/>
          <w:b/>
          <w:sz w:val="22"/>
        </w:rPr>
      </w:pPr>
    </w:p>
    <w:p w14:paraId="29332C1B" w14:textId="77777777" w:rsidR="00E718E2" w:rsidRDefault="00E718E2" w:rsidP="004540A7">
      <w:pPr>
        <w:spacing w:after="0"/>
        <w:rPr>
          <w:rFonts w:cs="Arial"/>
          <w:b/>
          <w:sz w:val="22"/>
        </w:rPr>
      </w:pPr>
    </w:p>
    <w:p w14:paraId="4D57D27F" w14:textId="77777777" w:rsidR="00E718E2" w:rsidRDefault="00E718E2" w:rsidP="004540A7">
      <w:pPr>
        <w:spacing w:after="0"/>
        <w:rPr>
          <w:rFonts w:cs="Arial"/>
          <w:b/>
          <w:sz w:val="22"/>
        </w:rPr>
      </w:pPr>
    </w:p>
    <w:p w14:paraId="757E7212" w14:textId="77777777" w:rsidR="00E718E2" w:rsidRDefault="00E718E2" w:rsidP="004540A7">
      <w:pPr>
        <w:spacing w:after="0"/>
        <w:rPr>
          <w:rFonts w:cs="Arial"/>
          <w:b/>
          <w:sz w:val="22"/>
        </w:rPr>
      </w:pPr>
    </w:p>
    <w:p w14:paraId="31155899" w14:textId="77777777" w:rsidR="00E718E2" w:rsidRDefault="00E718E2" w:rsidP="004540A7">
      <w:pPr>
        <w:spacing w:after="0"/>
        <w:rPr>
          <w:rFonts w:cs="Arial"/>
          <w:b/>
          <w:sz w:val="22"/>
        </w:rPr>
      </w:pPr>
    </w:p>
    <w:p w14:paraId="3784A78B" w14:textId="199CD7F4" w:rsidR="004540A7" w:rsidRPr="00E52D48" w:rsidRDefault="004540A7" w:rsidP="004540A7">
      <w:pPr>
        <w:spacing w:after="0"/>
        <w:rPr>
          <w:rFonts w:cs="Arial"/>
          <w:b/>
          <w:sz w:val="22"/>
        </w:rPr>
      </w:pPr>
      <w:r w:rsidRPr="00E52D48">
        <w:rPr>
          <w:rFonts w:cs="Arial"/>
          <w:b/>
          <w:sz w:val="22"/>
        </w:rPr>
        <w:t>Divisional Performance – response rate by Division (by month complaint received)</w:t>
      </w:r>
    </w:p>
    <w:p w14:paraId="771C4DDE" w14:textId="77777777" w:rsidR="004540A7" w:rsidRPr="002D1C7E" w:rsidRDefault="004540A7" w:rsidP="004540A7">
      <w:pPr>
        <w:spacing w:after="0"/>
        <w:rPr>
          <w:rFonts w:cs="Arial"/>
          <w:b/>
        </w:rPr>
      </w:pPr>
    </w:p>
    <w:p w14:paraId="13E43DB4" w14:textId="77777777" w:rsidR="004540A7" w:rsidRPr="002D1C7E" w:rsidRDefault="004540A7" w:rsidP="004540A7">
      <w:pPr>
        <w:tabs>
          <w:tab w:val="left" w:pos="5470"/>
        </w:tabs>
        <w:rPr>
          <w:rFonts w:cs="Arial"/>
          <w:sz w:val="20"/>
        </w:rPr>
      </w:pPr>
      <w:r w:rsidRPr="002D1C7E">
        <w:rPr>
          <w:rFonts w:cs="Arial"/>
          <w:noProof/>
          <w:lang w:eastAsia="en-GB"/>
        </w:rPr>
        <w:drawing>
          <wp:inline distT="0" distB="0" distL="0" distR="0" wp14:anchorId="6FD8F7AC" wp14:editId="7DEAB9D4">
            <wp:extent cx="5057775" cy="208597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61FE634" w14:textId="77777777" w:rsidR="004540A7" w:rsidRPr="002D1C7E" w:rsidRDefault="004540A7" w:rsidP="004540A7">
      <w:pPr>
        <w:spacing w:after="0"/>
        <w:rPr>
          <w:rFonts w:cs="Arial"/>
          <w:b/>
          <w:color w:val="000000"/>
        </w:rPr>
      </w:pPr>
      <w:r w:rsidRPr="002D1C7E">
        <w:rPr>
          <w:rFonts w:cs="Arial"/>
          <w:noProof/>
          <w:lang w:eastAsia="en-GB"/>
        </w:rPr>
        <w:drawing>
          <wp:inline distT="0" distB="0" distL="0" distR="0" wp14:anchorId="7FEC0A69" wp14:editId="4ABDE092">
            <wp:extent cx="5057775" cy="2466975"/>
            <wp:effectExtent l="0" t="0" r="9525"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0CF1B22" w14:textId="77777777" w:rsidR="004540A7" w:rsidRPr="002D1C7E" w:rsidRDefault="004540A7" w:rsidP="004540A7">
      <w:pPr>
        <w:spacing w:after="0"/>
        <w:rPr>
          <w:rFonts w:cs="Arial"/>
          <w:b/>
          <w:color w:val="000000"/>
        </w:rPr>
      </w:pPr>
    </w:p>
    <w:p w14:paraId="24508A58" w14:textId="77777777" w:rsidR="004540A7" w:rsidRPr="002D1C7E" w:rsidRDefault="004540A7" w:rsidP="004540A7">
      <w:pPr>
        <w:spacing w:after="0"/>
        <w:rPr>
          <w:rFonts w:cs="Arial"/>
          <w:b/>
          <w:color w:val="000000"/>
        </w:rPr>
      </w:pPr>
      <w:r w:rsidRPr="002D1C7E">
        <w:rPr>
          <w:rFonts w:cs="Arial"/>
          <w:noProof/>
          <w:lang w:eastAsia="en-GB"/>
        </w:rPr>
        <w:drawing>
          <wp:inline distT="0" distB="0" distL="0" distR="0" wp14:anchorId="62A6C863" wp14:editId="7DD1E17F">
            <wp:extent cx="5086350" cy="2657475"/>
            <wp:effectExtent l="0" t="0" r="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0D82524" w14:textId="77777777" w:rsidR="004540A7" w:rsidRPr="002D1C7E" w:rsidRDefault="004540A7" w:rsidP="004540A7">
      <w:pPr>
        <w:spacing w:after="0"/>
        <w:rPr>
          <w:rFonts w:cs="Arial"/>
          <w:b/>
          <w:color w:val="000000"/>
        </w:rPr>
      </w:pPr>
    </w:p>
    <w:p w14:paraId="3F15ACE2" w14:textId="77777777" w:rsidR="004540A7" w:rsidRPr="002D1C7E" w:rsidRDefault="004540A7" w:rsidP="004540A7">
      <w:pPr>
        <w:spacing w:after="0"/>
        <w:rPr>
          <w:rFonts w:cs="Arial"/>
          <w:b/>
          <w:color w:val="000000"/>
        </w:rPr>
      </w:pPr>
      <w:r w:rsidRPr="002D1C7E">
        <w:rPr>
          <w:rFonts w:cs="Arial"/>
          <w:noProof/>
          <w:lang w:eastAsia="en-GB"/>
        </w:rPr>
        <w:lastRenderedPageBreak/>
        <w:drawing>
          <wp:inline distT="0" distB="0" distL="0" distR="0" wp14:anchorId="615BCE26" wp14:editId="1A0078CD">
            <wp:extent cx="5172075" cy="1936750"/>
            <wp:effectExtent l="0" t="0" r="9525" b="63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D963152" w14:textId="77777777" w:rsidR="004540A7" w:rsidRPr="002D1C7E" w:rsidRDefault="004540A7" w:rsidP="004540A7">
      <w:pPr>
        <w:spacing w:after="0"/>
        <w:rPr>
          <w:rFonts w:cs="Arial"/>
          <w:b/>
          <w:color w:val="000000"/>
        </w:rPr>
      </w:pPr>
    </w:p>
    <w:p w14:paraId="45EEDAC0" w14:textId="77777777" w:rsidR="004540A7" w:rsidRPr="002D1C7E" w:rsidRDefault="004540A7" w:rsidP="004540A7">
      <w:pPr>
        <w:spacing w:after="0"/>
        <w:rPr>
          <w:rFonts w:cs="Arial"/>
          <w:b/>
          <w:color w:val="000000"/>
        </w:rPr>
      </w:pPr>
    </w:p>
    <w:p w14:paraId="774AC7EC" w14:textId="77777777" w:rsidR="004540A7" w:rsidRPr="002D1C7E" w:rsidRDefault="004540A7" w:rsidP="004540A7">
      <w:pPr>
        <w:spacing w:after="0"/>
        <w:rPr>
          <w:rFonts w:cs="Arial"/>
        </w:rPr>
      </w:pPr>
      <w:r w:rsidRPr="002D1C7E">
        <w:rPr>
          <w:rFonts w:cs="Arial"/>
          <w:noProof/>
          <w:lang w:eastAsia="en-GB"/>
        </w:rPr>
        <w:drawing>
          <wp:inline distT="0" distB="0" distL="0" distR="0" wp14:anchorId="1F2700A7" wp14:editId="3650D8A4">
            <wp:extent cx="5381625" cy="2543175"/>
            <wp:effectExtent l="0" t="0" r="9525"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AE49037" w14:textId="77777777" w:rsidR="004540A7" w:rsidRPr="002D1C7E" w:rsidRDefault="004540A7" w:rsidP="004540A7">
      <w:pPr>
        <w:spacing w:after="0"/>
        <w:rPr>
          <w:rFonts w:cs="Arial"/>
          <w:b/>
        </w:rPr>
      </w:pPr>
    </w:p>
    <w:p w14:paraId="714EE342" w14:textId="4C7669E6" w:rsidR="00E52D48" w:rsidRPr="007A3920" w:rsidRDefault="00E52D48" w:rsidP="00E52D48">
      <w:pPr>
        <w:spacing w:after="0"/>
        <w:jc w:val="both"/>
        <w:rPr>
          <w:rFonts w:cs="Arial"/>
          <w:sz w:val="22"/>
        </w:rPr>
      </w:pPr>
      <w:r w:rsidRPr="007A3920">
        <w:rPr>
          <w:rFonts w:cs="Arial"/>
          <w:sz w:val="22"/>
        </w:rPr>
        <w:t xml:space="preserve">The graph below shows how </w:t>
      </w:r>
      <w:r>
        <w:rPr>
          <w:rFonts w:cs="Arial"/>
          <w:sz w:val="22"/>
        </w:rPr>
        <w:t>the percentage of</w:t>
      </w:r>
      <w:r w:rsidRPr="007A3920">
        <w:rPr>
          <w:rFonts w:cs="Arial"/>
          <w:sz w:val="22"/>
        </w:rPr>
        <w:t xml:space="preserve"> complaints received </w:t>
      </w:r>
      <w:r>
        <w:rPr>
          <w:rFonts w:cs="Arial"/>
          <w:sz w:val="22"/>
        </w:rPr>
        <w:t xml:space="preserve">and </w:t>
      </w:r>
      <w:r w:rsidRPr="007A3920">
        <w:rPr>
          <w:rFonts w:cs="Arial"/>
          <w:sz w:val="22"/>
        </w:rPr>
        <w:t>de-escalated</w:t>
      </w:r>
      <w:r>
        <w:rPr>
          <w:rFonts w:cs="Arial"/>
          <w:sz w:val="22"/>
        </w:rPr>
        <w:t>, providing faster resolution for patients</w:t>
      </w:r>
      <w:r w:rsidRPr="007A3920">
        <w:rPr>
          <w:rFonts w:cs="Arial"/>
          <w:sz w:val="22"/>
        </w:rPr>
        <w:t xml:space="preserve">:   </w:t>
      </w:r>
    </w:p>
    <w:p w14:paraId="7A71412D" w14:textId="77777777" w:rsidR="00E52D48" w:rsidRPr="002D1C7E" w:rsidRDefault="00E52D48" w:rsidP="00E52D48">
      <w:pPr>
        <w:spacing w:after="0"/>
        <w:rPr>
          <w:rFonts w:cs="Arial"/>
        </w:rPr>
      </w:pPr>
    </w:p>
    <w:p w14:paraId="65DE5242" w14:textId="77777777" w:rsidR="00E52D48" w:rsidRPr="002D1C7E" w:rsidRDefault="00E52D48" w:rsidP="00E52D48">
      <w:pPr>
        <w:spacing w:after="0"/>
        <w:rPr>
          <w:rFonts w:cs="Arial"/>
          <w:b/>
        </w:rPr>
      </w:pPr>
      <w:r w:rsidRPr="002D1C7E">
        <w:rPr>
          <w:rFonts w:cs="Arial"/>
          <w:noProof/>
          <w:lang w:eastAsia="en-GB"/>
        </w:rPr>
        <w:drawing>
          <wp:inline distT="0" distB="0" distL="0" distR="0" wp14:anchorId="201C1D03" wp14:editId="7191BE19">
            <wp:extent cx="6391275" cy="334327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D069202" w14:textId="77777777" w:rsidR="00E52D48" w:rsidRPr="002D1C7E" w:rsidRDefault="00E52D48" w:rsidP="00E52D48">
      <w:pPr>
        <w:spacing w:after="0"/>
        <w:rPr>
          <w:rFonts w:cs="Arial"/>
          <w:b/>
        </w:rPr>
      </w:pPr>
    </w:p>
    <w:p w14:paraId="7D7D3B9C" w14:textId="77777777" w:rsidR="004540A7" w:rsidRPr="00E52D48" w:rsidRDefault="004540A7" w:rsidP="004540A7">
      <w:pPr>
        <w:spacing w:after="0"/>
        <w:rPr>
          <w:rFonts w:cs="Arial"/>
          <w:b/>
          <w:sz w:val="22"/>
        </w:rPr>
      </w:pPr>
      <w:r w:rsidRPr="00E52D48">
        <w:rPr>
          <w:rFonts w:cs="Arial"/>
          <w:b/>
          <w:sz w:val="22"/>
        </w:rPr>
        <w:lastRenderedPageBreak/>
        <w:t>Complaints signed first time</w:t>
      </w:r>
    </w:p>
    <w:p w14:paraId="4864C143" w14:textId="77777777" w:rsidR="004540A7" w:rsidRPr="00E52D48" w:rsidRDefault="004540A7" w:rsidP="004540A7">
      <w:pPr>
        <w:spacing w:after="0"/>
        <w:rPr>
          <w:rFonts w:cs="Arial"/>
          <w:sz w:val="22"/>
        </w:rPr>
      </w:pPr>
    </w:p>
    <w:p w14:paraId="5C570F44" w14:textId="3F116066" w:rsidR="004540A7" w:rsidRPr="00E52D48" w:rsidRDefault="008F1BD9" w:rsidP="004540A7">
      <w:pPr>
        <w:spacing w:after="0"/>
        <w:jc w:val="both"/>
        <w:rPr>
          <w:rFonts w:cs="Arial"/>
          <w:sz w:val="22"/>
        </w:rPr>
      </w:pPr>
      <w:r>
        <w:rPr>
          <w:rFonts w:cs="Arial"/>
          <w:sz w:val="22"/>
        </w:rPr>
        <w:t>T</w:t>
      </w:r>
      <w:r w:rsidR="004540A7" w:rsidRPr="00E52D48">
        <w:rPr>
          <w:rFonts w:cs="Arial"/>
          <w:sz w:val="22"/>
        </w:rPr>
        <w:t>he quality of complaint</w:t>
      </w:r>
      <w:r w:rsidR="00E52D48">
        <w:rPr>
          <w:rFonts w:cs="Arial"/>
          <w:sz w:val="22"/>
        </w:rPr>
        <w:t xml:space="preserve"> responses</w:t>
      </w:r>
      <w:r w:rsidR="004540A7" w:rsidRPr="00E52D48">
        <w:rPr>
          <w:rFonts w:cs="Arial"/>
          <w:sz w:val="22"/>
        </w:rPr>
        <w:t xml:space="preserve"> signed first time by the CEO is monitored. On average over 60% of complaints are signed first time by the CEO office. </w:t>
      </w:r>
      <w:r w:rsidR="00A07042">
        <w:rPr>
          <w:rFonts w:cs="Arial"/>
          <w:sz w:val="22"/>
        </w:rPr>
        <w:t xml:space="preserve"> This does not include responses where minor amendments were made and re-submitted.</w:t>
      </w:r>
    </w:p>
    <w:p w14:paraId="12F17B13" w14:textId="77777777" w:rsidR="004540A7" w:rsidRPr="002D1C7E" w:rsidRDefault="004540A7" w:rsidP="004540A7">
      <w:pPr>
        <w:spacing w:after="0"/>
        <w:rPr>
          <w:rFonts w:cs="Arial"/>
        </w:rPr>
      </w:pPr>
    </w:p>
    <w:p w14:paraId="550B336F" w14:textId="77777777" w:rsidR="004540A7" w:rsidRPr="002D1C7E" w:rsidRDefault="004540A7" w:rsidP="004540A7">
      <w:pPr>
        <w:spacing w:after="0"/>
        <w:rPr>
          <w:rFonts w:cs="Arial"/>
        </w:rPr>
      </w:pPr>
      <w:r w:rsidRPr="002D1C7E">
        <w:rPr>
          <w:rFonts w:cs="Arial"/>
          <w:noProof/>
          <w:lang w:eastAsia="en-GB"/>
        </w:rPr>
        <w:drawing>
          <wp:inline distT="0" distB="0" distL="0" distR="0" wp14:anchorId="5693DA7A" wp14:editId="01315E6E">
            <wp:extent cx="6677025" cy="3638550"/>
            <wp:effectExtent l="0" t="0" r="952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9C1179F" w14:textId="77777777" w:rsidR="004540A7" w:rsidRPr="002D1C7E" w:rsidRDefault="004540A7" w:rsidP="004540A7">
      <w:pPr>
        <w:spacing w:after="0"/>
        <w:rPr>
          <w:rFonts w:cs="Arial"/>
          <w:b/>
        </w:rPr>
      </w:pPr>
    </w:p>
    <w:p w14:paraId="6FB3F09F" w14:textId="77777777" w:rsidR="004540A7" w:rsidRPr="00AC64E9" w:rsidRDefault="004540A7" w:rsidP="004540A7">
      <w:pPr>
        <w:spacing w:after="0"/>
        <w:rPr>
          <w:rFonts w:cs="Arial"/>
          <w:b/>
          <w:sz w:val="22"/>
        </w:rPr>
      </w:pPr>
      <w:r w:rsidRPr="00AC64E9">
        <w:rPr>
          <w:rFonts w:cs="Arial"/>
          <w:b/>
          <w:sz w:val="22"/>
        </w:rPr>
        <w:t>Outcomes</w:t>
      </w:r>
    </w:p>
    <w:p w14:paraId="6522F700" w14:textId="77777777" w:rsidR="004540A7" w:rsidRPr="00AC64E9" w:rsidRDefault="004540A7" w:rsidP="004540A7">
      <w:pPr>
        <w:spacing w:after="0"/>
        <w:rPr>
          <w:rFonts w:cs="Arial"/>
          <w:sz w:val="22"/>
        </w:rPr>
      </w:pPr>
    </w:p>
    <w:p w14:paraId="096AA2EE" w14:textId="61625F75" w:rsidR="004540A7" w:rsidRPr="00AC64E9" w:rsidRDefault="004540A7" w:rsidP="004540A7">
      <w:pPr>
        <w:pStyle w:val="ListParagraph"/>
        <w:spacing w:after="0"/>
        <w:ind w:left="0"/>
        <w:jc w:val="both"/>
        <w:rPr>
          <w:rFonts w:cs="Arial"/>
          <w:noProof/>
          <w:sz w:val="22"/>
          <w:lang w:eastAsia="en-GB"/>
        </w:rPr>
      </w:pPr>
      <w:r w:rsidRPr="00AC64E9">
        <w:rPr>
          <w:rFonts w:cs="Arial"/>
          <w:sz w:val="22"/>
        </w:rPr>
        <w:t xml:space="preserve">416 of the 458 complaints received between April 2023 and March 2024 have been completed.  66% </w:t>
      </w:r>
      <w:r w:rsidRPr="00AC64E9">
        <w:rPr>
          <w:rFonts w:cs="Arial"/>
          <w:noProof/>
          <w:sz w:val="22"/>
          <w:lang w:eastAsia="en-GB"/>
        </w:rPr>
        <w:t>of these complaints were either fully or partially upheld, this terminology to describe the outcome of complaints where we provided an explanation and apology for a shortfall in care.  This outcome is determined by the investigator and recorded in Datix:</w:t>
      </w:r>
    </w:p>
    <w:p w14:paraId="5AF93576" w14:textId="77777777" w:rsidR="004540A7" w:rsidRPr="002D1C7E" w:rsidRDefault="004540A7" w:rsidP="004540A7">
      <w:pPr>
        <w:spacing w:after="0"/>
        <w:jc w:val="both"/>
        <w:rPr>
          <w:rFonts w:cs="Arial"/>
        </w:rPr>
      </w:pPr>
    </w:p>
    <w:p w14:paraId="2584E821" w14:textId="77777777" w:rsidR="004540A7" w:rsidRPr="002D1C7E" w:rsidRDefault="004540A7" w:rsidP="004540A7">
      <w:pPr>
        <w:spacing w:after="0"/>
        <w:rPr>
          <w:rFonts w:cs="Arial"/>
        </w:rPr>
      </w:pPr>
      <w:r w:rsidRPr="002D1C7E">
        <w:rPr>
          <w:rFonts w:cs="Arial"/>
          <w:noProof/>
          <w:lang w:eastAsia="en-GB"/>
        </w:rPr>
        <w:lastRenderedPageBreak/>
        <w:drawing>
          <wp:inline distT="0" distB="0" distL="0" distR="0" wp14:anchorId="5E0048D9" wp14:editId="4BF79116">
            <wp:extent cx="6629400" cy="3419475"/>
            <wp:effectExtent l="0" t="0" r="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6CA01EB" w14:textId="77777777" w:rsidR="004540A7" w:rsidRPr="002D1C7E" w:rsidRDefault="004540A7" w:rsidP="004540A7">
      <w:pPr>
        <w:spacing w:after="0"/>
        <w:rPr>
          <w:rFonts w:cs="Arial"/>
          <w:b/>
        </w:rPr>
      </w:pPr>
    </w:p>
    <w:p w14:paraId="3EB87C99" w14:textId="77777777" w:rsidR="004540A7" w:rsidRPr="00E46AB2" w:rsidRDefault="004540A7" w:rsidP="004540A7">
      <w:pPr>
        <w:spacing w:after="0"/>
        <w:rPr>
          <w:rFonts w:cs="Arial"/>
          <w:b/>
          <w:sz w:val="22"/>
        </w:rPr>
      </w:pPr>
      <w:r w:rsidRPr="00E46AB2">
        <w:rPr>
          <w:rFonts w:cs="Arial"/>
          <w:b/>
          <w:sz w:val="22"/>
        </w:rPr>
        <w:t>Reopened complaints</w:t>
      </w:r>
    </w:p>
    <w:p w14:paraId="4690C689" w14:textId="77777777" w:rsidR="004540A7" w:rsidRPr="00E46AB2" w:rsidRDefault="004540A7" w:rsidP="004540A7">
      <w:pPr>
        <w:spacing w:after="0"/>
        <w:rPr>
          <w:rFonts w:cs="Arial"/>
          <w:b/>
          <w:sz w:val="22"/>
        </w:rPr>
      </w:pPr>
    </w:p>
    <w:p w14:paraId="3B1D3E27" w14:textId="6E94AE67" w:rsidR="004540A7" w:rsidRPr="00E46AB2" w:rsidRDefault="004540A7" w:rsidP="004540A7">
      <w:pPr>
        <w:spacing w:after="0"/>
        <w:rPr>
          <w:rFonts w:cs="Arial"/>
          <w:sz w:val="22"/>
        </w:rPr>
      </w:pPr>
      <w:r w:rsidRPr="00E46AB2">
        <w:rPr>
          <w:rFonts w:cs="Arial"/>
          <w:sz w:val="22"/>
        </w:rPr>
        <w:t xml:space="preserve">7% of the completed complaints </w:t>
      </w:r>
      <w:r w:rsidR="00217F46">
        <w:rPr>
          <w:rFonts w:cs="Arial"/>
          <w:sz w:val="22"/>
        </w:rPr>
        <w:t>investigated</w:t>
      </w:r>
      <w:r w:rsidRPr="00E46AB2">
        <w:rPr>
          <w:rFonts w:cs="Arial"/>
          <w:sz w:val="22"/>
        </w:rPr>
        <w:t xml:space="preserve"> during April 2023 – March 2024 </w:t>
      </w:r>
      <w:r w:rsidR="0082070B">
        <w:rPr>
          <w:rFonts w:cs="Arial"/>
          <w:sz w:val="22"/>
        </w:rPr>
        <w:t xml:space="preserve">across all Divisions </w:t>
      </w:r>
      <w:r w:rsidRPr="00E46AB2">
        <w:rPr>
          <w:rFonts w:cs="Arial"/>
          <w:sz w:val="22"/>
        </w:rPr>
        <w:t>were subsequently reopened</w:t>
      </w:r>
      <w:r w:rsidR="0082070B">
        <w:rPr>
          <w:rFonts w:cs="Arial"/>
          <w:sz w:val="22"/>
        </w:rPr>
        <w:t>:</w:t>
      </w:r>
    </w:p>
    <w:p w14:paraId="6BE62379" w14:textId="77777777" w:rsidR="004540A7" w:rsidRPr="002D1C7E" w:rsidRDefault="004540A7" w:rsidP="004540A7">
      <w:pPr>
        <w:spacing w:after="0"/>
        <w:rPr>
          <w:rFonts w:cs="Arial"/>
        </w:rPr>
      </w:pPr>
    </w:p>
    <w:tbl>
      <w:tblPr>
        <w:tblStyle w:val="TableGrid"/>
        <w:tblW w:w="0" w:type="auto"/>
        <w:tblLook w:val="04A0" w:firstRow="1" w:lastRow="0" w:firstColumn="1" w:lastColumn="0" w:noHBand="0" w:noVBand="1"/>
      </w:tblPr>
      <w:tblGrid>
        <w:gridCol w:w="1801"/>
        <w:gridCol w:w="1332"/>
        <w:gridCol w:w="963"/>
        <w:gridCol w:w="1301"/>
        <w:gridCol w:w="1649"/>
        <w:gridCol w:w="1707"/>
      </w:tblGrid>
      <w:tr w:rsidR="004540A7" w:rsidRPr="00E46AB2" w14:paraId="41F805E1" w14:textId="77777777" w:rsidTr="00064BC1">
        <w:tc>
          <w:tcPr>
            <w:tcW w:w="1801" w:type="dxa"/>
          </w:tcPr>
          <w:p w14:paraId="76EBD9D5" w14:textId="77777777" w:rsidR="004540A7" w:rsidRPr="00E46AB2" w:rsidRDefault="004540A7" w:rsidP="00064BC1">
            <w:pPr>
              <w:jc w:val="center"/>
              <w:rPr>
                <w:rFonts w:cs="Arial"/>
                <w:b/>
                <w:sz w:val="22"/>
              </w:rPr>
            </w:pPr>
            <w:r w:rsidRPr="00E46AB2">
              <w:rPr>
                <w:rFonts w:cs="Arial"/>
                <w:b/>
                <w:sz w:val="22"/>
              </w:rPr>
              <w:t>Division</w:t>
            </w:r>
          </w:p>
        </w:tc>
        <w:tc>
          <w:tcPr>
            <w:tcW w:w="1332" w:type="dxa"/>
          </w:tcPr>
          <w:p w14:paraId="5110AA67" w14:textId="77777777" w:rsidR="004540A7" w:rsidRPr="00E46AB2" w:rsidRDefault="004540A7" w:rsidP="00064BC1">
            <w:pPr>
              <w:jc w:val="center"/>
              <w:rPr>
                <w:rFonts w:cs="Arial"/>
                <w:b/>
                <w:sz w:val="22"/>
              </w:rPr>
            </w:pPr>
            <w:r w:rsidRPr="00E46AB2">
              <w:rPr>
                <w:rFonts w:cs="Arial"/>
                <w:b/>
                <w:sz w:val="22"/>
              </w:rPr>
              <w:t>CSS</w:t>
            </w:r>
          </w:p>
        </w:tc>
        <w:tc>
          <w:tcPr>
            <w:tcW w:w="963" w:type="dxa"/>
          </w:tcPr>
          <w:p w14:paraId="07660C29" w14:textId="77777777" w:rsidR="004540A7" w:rsidRPr="00E46AB2" w:rsidRDefault="004540A7" w:rsidP="00064BC1">
            <w:pPr>
              <w:jc w:val="center"/>
              <w:rPr>
                <w:rFonts w:cs="Arial"/>
                <w:b/>
                <w:sz w:val="22"/>
              </w:rPr>
            </w:pPr>
            <w:r w:rsidRPr="00E46AB2">
              <w:rPr>
                <w:rFonts w:cs="Arial"/>
                <w:b/>
                <w:sz w:val="22"/>
              </w:rPr>
              <w:t>EIC</w:t>
            </w:r>
          </w:p>
        </w:tc>
        <w:tc>
          <w:tcPr>
            <w:tcW w:w="1301" w:type="dxa"/>
          </w:tcPr>
          <w:p w14:paraId="70ED3318" w14:textId="77777777" w:rsidR="004540A7" w:rsidRPr="00E46AB2" w:rsidRDefault="004540A7" w:rsidP="00064BC1">
            <w:pPr>
              <w:jc w:val="center"/>
              <w:rPr>
                <w:rFonts w:cs="Arial"/>
                <w:b/>
                <w:sz w:val="22"/>
              </w:rPr>
            </w:pPr>
            <w:r w:rsidRPr="00E46AB2">
              <w:rPr>
                <w:rFonts w:cs="Arial"/>
                <w:b/>
                <w:sz w:val="22"/>
              </w:rPr>
              <w:t>PC</w:t>
            </w:r>
          </w:p>
        </w:tc>
        <w:tc>
          <w:tcPr>
            <w:tcW w:w="1649" w:type="dxa"/>
          </w:tcPr>
          <w:p w14:paraId="56CE1462" w14:textId="77777777" w:rsidR="004540A7" w:rsidRPr="00E46AB2" w:rsidRDefault="004540A7" w:rsidP="00064BC1">
            <w:pPr>
              <w:jc w:val="center"/>
              <w:rPr>
                <w:rFonts w:cs="Arial"/>
                <w:b/>
                <w:sz w:val="22"/>
              </w:rPr>
            </w:pPr>
            <w:r w:rsidRPr="00E46AB2">
              <w:rPr>
                <w:rFonts w:cs="Arial"/>
                <w:b/>
                <w:sz w:val="22"/>
              </w:rPr>
              <w:t>Specialist Care</w:t>
            </w:r>
          </w:p>
        </w:tc>
        <w:tc>
          <w:tcPr>
            <w:tcW w:w="1547" w:type="dxa"/>
          </w:tcPr>
          <w:p w14:paraId="3AF0C666" w14:textId="77777777" w:rsidR="004540A7" w:rsidRPr="00E46AB2" w:rsidRDefault="004540A7" w:rsidP="00064BC1">
            <w:pPr>
              <w:jc w:val="center"/>
              <w:rPr>
                <w:rFonts w:cs="Arial"/>
                <w:b/>
                <w:sz w:val="22"/>
              </w:rPr>
            </w:pPr>
            <w:r w:rsidRPr="00E46AB2">
              <w:rPr>
                <w:rFonts w:cs="Arial"/>
                <w:b/>
                <w:sz w:val="22"/>
              </w:rPr>
              <w:t>WLC/Corp/Ent</w:t>
            </w:r>
          </w:p>
        </w:tc>
      </w:tr>
      <w:tr w:rsidR="004540A7" w:rsidRPr="00E46AB2" w14:paraId="55FFEF7E" w14:textId="77777777" w:rsidTr="00064BC1">
        <w:tc>
          <w:tcPr>
            <w:tcW w:w="1801" w:type="dxa"/>
          </w:tcPr>
          <w:p w14:paraId="630665DF" w14:textId="77777777" w:rsidR="004540A7" w:rsidRPr="00E46AB2" w:rsidRDefault="004540A7" w:rsidP="00064BC1">
            <w:pPr>
              <w:jc w:val="center"/>
              <w:rPr>
                <w:rFonts w:cs="Arial"/>
                <w:sz w:val="22"/>
              </w:rPr>
            </w:pPr>
            <w:r w:rsidRPr="00E46AB2">
              <w:rPr>
                <w:rFonts w:cs="Arial"/>
                <w:sz w:val="22"/>
              </w:rPr>
              <w:t>Number completed</w:t>
            </w:r>
          </w:p>
        </w:tc>
        <w:tc>
          <w:tcPr>
            <w:tcW w:w="1332" w:type="dxa"/>
          </w:tcPr>
          <w:p w14:paraId="077F13C0" w14:textId="77777777" w:rsidR="004540A7" w:rsidRPr="00E46AB2" w:rsidRDefault="004540A7" w:rsidP="00064BC1">
            <w:pPr>
              <w:jc w:val="center"/>
              <w:rPr>
                <w:rFonts w:cs="Arial"/>
                <w:sz w:val="22"/>
              </w:rPr>
            </w:pPr>
            <w:r w:rsidRPr="00E46AB2">
              <w:rPr>
                <w:rFonts w:cs="Arial"/>
                <w:sz w:val="22"/>
              </w:rPr>
              <w:t>25</w:t>
            </w:r>
          </w:p>
        </w:tc>
        <w:tc>
          <w:tcPr>
            <w:tcW w:w="963" w:type="dxa"/>
          </w:tcPr>
          <w:p w14:paraId="31256A44" w14:textId="77777777" w:rsidR="004540A7" w:rsidRPr="00E46AB2" w:rsidRDefault="004540A7" w:rsidP="00064BC1">
            <w:pPr>
              <w:jc w:val="center"/>
              <w:rPr>
                <w:rFonts w:cs="Arial"/>
                <w:sz w:val="22"/>
              </w:rPr>
            </w:pPr>
            <w:r w:rsidRPr="00E46AB2">
              <w:rPr>
                <w:rFonts w:cs="Arial"/>
                <w:sz w:val="22"/>
              </w:rPr>
              <w:t>113</w:t>
            </w:r>
          </w:p>
        </w:tc>
        <w:tc>
          <w:tcPr>
            <w:tcW w:w="1301" w:type="dxa"/>
          </w:tcPr>
          <w:p w14:paraId="036A916B" w14:textId="77777777" w:rsidR="004540A7" w:rsidRPr="00E46AB2" w:rsidRDefault="004540A7" w:rsidP="00064BC1">
            <w:pPr>
              <w:jc w:val="center"/>
              <w:rPr>
                <w:rFonts w:cs="Arial"/>
                <w:sz w:val="22"/>
              </w:rPr>
            </w:pPr>
            <w:r w:rsidRPr="00E46AB2">
              <w:rPr>
                <w:rFonts w:cs="Arial"/>
                <w:sz w:val="22"/>
              </w:rPr>
              <w:t>128</w:t>
            </w:r>
          </w:p>
        </w:tc>
        <w:tc>
          <w:tcPr>
            <w:tcW w:w="1649" w:type="dxa"/>
          </w:tcPr>
          <w:p w14:paraId="2A5959C3" w14:textId="77777777" w:rsidR="004540A7" w:rsidRPr="00E46AB2" w:rsidRDefault="004540A7" w:rsidP="00064BC1">
            <w:pPr>
              <w:jc w:val="center"/>
              <w:rPr>
                <w:rFonts w:cs="Arial"/>
                <w:sz w:val="22"/>
              </w:rPr>
            </w:pPr>
            <w:r w:rsidRPr="00E46AB2">
              <w:rPr>
                <w:rFonts w:cs="Arial"/>
                <w:sz w:val="22"/>
              </w:rPr>
              <w:t>105</w:t>
            </w:r>
          </w:p>
        </w:tc>
        <w:tc>
          <w:tcPr>
            <w:tcW w:w="1547" w:type="dxa"/>
          </w:tcPr>
          <w:p w14:paraId="40D567E7" w14:textId="77777777" w:rsidR="004540A7" w:rsidRPr="00E46AB2" w:rsidRDefault="004540A7" w:rsidP="00064BC1">
            <w:pPr>
              <w:jc w:val="center"/>
              <w:rPr>
                <w:rFonts w:cs="Arial"/>
                <w:sz w:val="22"/>
              </w:rPr>
            </w:pPr>
            <w:r w:rsidRPr="00E46AB2">
              <w:rPr>
                <w:rFonts w:cs="Arial"/>
                <w:sz w:val="22"/>
              </w:rPr>
              <w:t>40</w:t>
            </w:r>
          </w:p>
        </w:tc>
      </w:tr>
      <w:tr w:rsidR="004540A7" w:rsidRPr="00E46AB2" w14:paraId="30E91AA7" w14:textId="77777777" w:rsidTr="00064BC1">
        <w:tc>
          <w:tcPr>
            <w:tcW w:w="1801" w:type="dxa"/>
          </w:tcPr>
          <w:p w14:paraId="5693A829" w14:textId="77777777" w:rsidR="004540A7" w:rsidRPr="00E46AB2" w:rsidRDefault="004540A7" w:rsidP="00064BC1">
            <w:pPr>
              <w:jc w:val="center"/>
              <w:rPr>
                <w:rFonts w:cs="Arial"/>
                <w:sz w:val="22"/>
              </w:rPr>
            </w:pPr>
            <w:r w:rsidRPr="00E46AB2">
              <w:rPr>
                <w:rFonts w:cs="Arial"/>
                <w:sz w:val="22"/>
              </w:rPr>
              <w:t>Number reopened</w:t>
            </w:r>
          </w:p>
        </w:tc>
        <w:tc>
          <w:tcPr>
            <w:tcW w:w="1332" w:type="dxa"/>
          </w:tcPr>
          <w:p w14:paraId="79A7229B" w14:textId="77777777" w:rsidR="004540A7" w:rsidRPr="00E46AB2" w:rsidRDefault="004540A7" w:rsidP="00064BC1">
            <w:pPr>
              <w:jc w:val="center"/>
              <w:rPr>
                <w:rFonts w:cs="Arial"/>
                <w:sz w:val="22"/>
              </w:rPr>
            </w:pPr>
            <w:r w:rsidRPr="00E46AB2">
              <w:rPr>
                <w:rFonts w:cs="Arial"/>
                <w:sz w:val="22"/>
              </w:rPr>
              <w:t>2</w:t>
            </w:r>
          </w:p>
        </w:tc>
        <w:tc>
          <w:tcPr>
            <w:tcW w:w="963" w:type="dxa"/>
          </w:tcPr>
          <w:p w14:paraId="1BE77BDD" w14:textId="77777777" w:rsidR="004540A7" w:rsidRPr="00E46AB2" w:rsidRDefault="004540A7" w:rsidP="00064BC1">
            <w:pPr>
              <w:jc w:val="center"/>
              <w:rPr>
                <w:rFonts w:cs="Arial"/>
                <w:sz w:val="22"/>
              </w:rPr>
            </w:pPr>
            <w:r w:rsidRPr="00E46AB2">
              <w:rPr>
                <w:rFonts w:cs="Arial"/>
                <w:sz w:val="22"/>
              </w:rPr>
              <w:t>3</w:t>
            </w:r>
          </w:p>
        </w:tc>
        <w:tc>
          <w:tcPr>
            <w:tcW w:w="1301" w:type="dxa"/>
          </w:tcPr>
          <w:p w14:paraId="1A8781F6" w14:textId="77777777" w:rsidR="004540A7" w:rsidRPr="00E46AB2" w:rsidRDefault="004540A7" w:rsidP="00064BC1">
            <w:pPr>
              <w:jc w:val="center"/>
              <w:rPr>
                <w:rFonts w:cs="Arial"/>
                <w:sz w:val="22"/>
              </w:rPr>
            </w:pPr>
            <w:r w:rsidRPr="00E46AB2">
              <w:rPr>
                <w:rFonts w:cs="Arial"/>
                <w:sz w:val="22"/>
              </w:rPr>
              <w:t>11</w:t>
            </w:r>
          </w:p>
        </w:tc>
        <w:tc>
          <w:tcPr>
            <w:tcW w:w="1649" w:type="dxa"/>
          </w:tcPr>
          <w:p w14:paraId="5B918871" w14:textId="77777777" w:rsidR="004540A7" w:rsidRPr="00E46AB2" w:rsidRDefault="004540A7" w:rsidP="00064BC1">
            <w:pPr>
              <w:jc w:val="center"/>
              <w:rPr>
                <w:rFonts w:cs="Arial"/>
                <w:sz w:val="22"/>
              </w:rPr>
            </w:pPr>
            <w:r w:rsidRPr="00E46AB2">
              <w:rPr>
                <w:rFonts w:cs="Arial"/>
                <w:sz w:val="22"/>
              </w:rPr>
              <w:t>8</w:t>
            </w:r>
          </w:p>
        </w:tc>
        <w:tc>
          <w:tcPr>
            <w:tcW w:w="1547" w:type="dxa"/>
          </w:tcPr>
          <w:p w14:paraId="792C3B3A" w14:textId="77777777" w:rsidR="004540A7" w:rsidRPr="00E46AB2" w:rsidRDefault="004540A7" w:rsidP="00064BC1">
            <w:pPr>
              <w:jc w:val="center"/>
              <w:rPr>
                <w:rFonts w:cs="Arial"/>
                <w:sz w:val="22"/>
              </w:rPr>
            </w:pPr>
            <w:r w:rsidRPr="00E46AB2">
              <w:rPr>
                <w:rFonts w:cs="Arial"/>
                <w:sz w:val="22"/>
              </w:rPr>
              <w:t>4</w:t>
            </w:r>
          </w:p>
        </w:tc>
      </w:tr>
      <w:tr w:rsidR="004540A7" w:rsidRPr="00E46AB2" w14:paraId="39FBC2DB" w14:textId="77777777" w:rsidTr="00064BC1">
        <w:tc>
          <w:tcPr>
            <w:tcW w:w="1801" w:type="dxa"/>
          </w:tcPr>
          <w:p w14:paraId="79B058CC" w14:textId="77777777" w:rsidR="004540A7" w:rsidRPr="00E46AB2" w:rsidRDefault="004540A7" w:rsidP="00064BC1">
            <w:pPr>
              <w:jc w:val="center"/>
              <w:rPr>
                <w:rFonts w:cs="Arial"/>
                <w:sz w:val="22"/>
              </w:rPr>
            </w:pPr>
            <w:r w:rsidRPr="00E46AB2">
              <w:rPr>
                <w:rFonts w:cs="Arial"/>
                <w:sz w:val="22"/>
              </w:rPr>
              <w:t xml:space="preserve">% reopened </w:t>
            </w:r>
          </w:p>
        </w:tc>
        <w:tc>
          <w:tcPr>
            <w:tcW w:w="1332" w:type="dxa"/>
          </w:tcPr>
          <w:p w14:paraId="7D4B8C08" w14:textId="77777777" w:rsidR="004540A7" w:rsidRPr="00217F46" w:rsidRDefault="004540A7" w:rsidP="00064BC1">
            <w:pPr>
              <w:jc w:val="center"/>
              <w:rPr>
                <w:rFonts w:cs="Arial"/>
                <w:b/>
                <w:sz w:val="22"/>
              </w:rPr>
            </w:pPr>
            <w:r w:rsidRPr="00217F46">
              <w:rPr>
                <w:rFonts w:cs="Arial"/>
                <w:b/>
                <w:sz w:val="22"/>
              </w:rPr>
              <w:t>8%</w:t>
            </w:r>
          </w:p>
        </w:tc>
        <w:tc>
          <w:tcPr>
            <w:tcW w:w="963" w:type="dxa"/>
          </w:tcPr>
          <w:p w14:paraId="56480DE9" w14:textId="77777777" w:rsidR="004540A7" w:rsidRPr="00217F46" w:rsidRDefault="004540A7" w:rsidP="00064BC1">
            <w:pPr>
              <w:jc w:val="center"/>
              <w:rPr>
                <w:rFonts w:cs="Arial"/>
                <w:b/>
                <w:sz w:val="22"/>
              </w:rPr>
            </w:pPr>
            <w:r w:rsidRPr="00217F46">
              <w:rPr>
                <w:rFonts w:cs="Arial"/>
                <w:b/>
                <w:sz w:val="22"/>
              </w:rPr>
              <w:t>3%</w:t>
            </w:r>
          </w:p>
        </w:tc>
        <w:tc>
          <w:tcPr>
            <w:tcW w:w="1301" w:type="dxa"/>
          </w:tcPr>
          <w:p w14:paraId="254A78FD" w14:textId="77777777" w:rsidR="004540A7" w:rsidRPr="00217F46" w:rsidRDefault="004540A7" w:rsidP="00064BC1">
            <w:pPr>
              <w:jc w:val="center"/>
              <w:rPr>
                <w:rFonts w:cs="Arial"/>
                <w:b/>
                <w:sz w:val="22"/>
              </w:rPr>
            </w:pPr>
            <w:r w:rsidRPr="00217F46">
              <w:rPr>
                <w:rFonts w:cs="Arial"/>
                <w:b/>
                <w:sz w:val="22"/>
              </w:rPr>
              <w:t>9%</w:t>
            </w:r>
          </w:p>
        </w:tc>
        <w:tc>
          <w:tcPr>
            <w:tcW w:w="1649" w:type="dxa"/>
          </w:tcPr>
          <w:p w14:paraId="3510577B" w14:textId="77777777" w:rsidR="004540A7" w:rsidRPr="00217F46" w:rsidRDefault="004540A7" w:rsidP="00064BC1">
            <w:pPr>
              <w:jc w:val="center"/>
              <w:rPr>
                <w:rFonts w:cs="Arial"/>
                <w:b/>
                <w:sz w:val="22"/>
              </w:rPr>
            </w:pPr>
            <w:r w:rsidRPr="00217F46">
              <w:rPr>
                <w:rFonts w:cs="Arial"/>
                <w:b/>
                <w:sz w:val="22"/>
              </w:rPr>
              <w:t>8%</w:t>
            </w:r>
          </w:p>
        </w:tc>
        <w:tc>
          <w:tcPr>
            <w:tcW w:w="1547" w:type="dxa"/>
          </w:tcPr>
          <w:p w14:paraId="4EF8CDCB" w14:textId="77777777" w:rsidR="004540A7" w:rsidRPr="00217F46" w:rsidRDefault="004540A7" w:rsidP="00064BC1">
            <w:pPr>
              <w:jc w:val="center"/>
              <w:rPr>
                <w:rFonts w:cs="Arial"/>
                <w:b/>
                <w:sz w:val="22"/>
              </w:rPr>
            </w:pPr>
            <w:r w:rsidRPr="00217F46">
              <w:rPr>
                <w:rFonts w:cs="Arial"/>
                <w:b/>
                <w:sz w:val="22"/>
              </w:rPr>
              <w:t>10%</w:t>
            </w:r>
          </w:p>
        </w:tc>
      </w:tr>
    </w:tbl>
    <w:p w14:paraId="0A6F2ACC" w14:textId="77777777" w:rsidR="004540A7" w:rsidRPr="002D1C7E" w:rsidRDefault="004540A7" w:rsidP="004540A7">
      <w:pPr>
        <w:spacing w:after="0"/>
        <w:rPr>
          <w:rFonts w:cs="Arial"/>
        </w:rPr>
      </w:pPr>
    </w:p>
    <w:p w14:paraId="65C9826A" w14:textId="6F907197" w:rsidR="004540A7" w:rsidRPr="00E46AB2" w:rsidRDefault="004540A7" w:rsidP="00E46AB2">
      <w:pPr>
        <w:spacing w:after="0"/>
        <w:jc w:val="both"/>
        <w:rPr>
          <w:rFonts w:cs="Arial"/>
          <w:b/>
          <w:sz w:val="22"/>
        </w:rPr>
      </w:pPr>
      <w:r w:rsidRPr="00E46AB2">
        <w:rPr>
          <w:rFonts w:cs="Arial"/>
          <w:b/>
          <w:sz w:val="22"/>
        </w:rPr>
        <w:t>Parliamentary and Health Service Ombudsman</w:t>
      </w:r>
      <w:r w:rsidR="007A57C6">
        <w:rPr>
          <w:rFonts w:cs="Arial"/>
          <w:b/>
          <w:sz w:val="22"/>
        </w:rPr>
        <w:t xml:space="preserve"> (PHSO)</w:t>
      </w:r>
    </w:p>
    <w:p w14:paraId="7E9D0016" w14:textId="04B4F315" w:rsidR="004540A7" w:rsidRDefault="004540A7" w:rsidP="00E46AB2">
      <w:pPr>
        <w:spacing w:after="0"/>
        <w:jc w:val="both"/>
        <w:rPr>
          <w:rFonts w:cs="Arial"/>
          <w:b/>
          <w:sz w:val="22"/>
        </w:rPr>
      </w:pPr>
    </w:p>
    <w:p w14:paraId="2CDE0CD9" w14:textId="3E85ACC3" w:rsidR="007A57C6" w:rsidRDefault="007A57C6" w:rsidP="00E46AB2">
      <w:pPr>
        <w:spacing w:after="0"/>
        <w:jc w:val="both"/>
        <w:rPr>
          <w:rFonts w:cs="Arial"/>
          <w:b/>
          <w:sz w:val="22"/>
        </w:rPr>
      </w:pPr>
      <w:r>
        <w:rPr>
          <w:rFonts w:cs="Arial"/>
          <w:b/>
          <w:sz w:val="22"/>
        </w:rPr>
        <w:t>Please see the table below which provides information relating to PHSO investigations:</w:t>
      </w:r>
    </w:p>
    <w:p w14:paraId="29419353" w14:textId="77777777" w:rsidR="007A57C6" w:rsidRPr="00E46AB2" w:rsidRDefault="007A57C6" w:rsidP="00E46AB2">
      <w:pPr>
        <w:spacing w:after="0"/>
        <w:jc w:val="both"/>
        <w:rPr>
          <w:rFonts w:cs="Arial"/>
          <w:b/>
          <w:sz w:val="22"/>
        </w:rPr>
      </w:pPr>
    </w:p>
    <w:tbl>
      <w:tblPr>
        <w:tblStyle w:val="TableGrid"/>
        <w:tblW w:w="0" w:type="auto"/>
        <w:tblLook w:val="04A0" w:firstRow="1" w:lastRow="0" w:firstColumn="1" w:lastColumn="0" w:noHBand="0" w:noVBand="1"/>
      </w:tblPr>
      <w:tblGrid>
        <w:gridCol w:w="2110"/>
        <w:gridCol w:w="1612"/>
        <w:gridCol w:w="1520"/>
        <w:gridCol w:w="1915"/>
        <w:gridCol w:w="1859"/>
      </w:tblGrid>
      <w:tr w:rsidR="007A57C6" w:rsidRPr="00506B7E" w14:paraId="4B0EA8D8" w14:textId="77777777" w:rsidTr="002B41A4">
        <w:tc>
          <w:tcPr>
            <w:tcW w:w="2110" w:type="dxa"/>
          </w:tcPr>
          <w:p w14:paraId="1CAD166A" w14:textId="77777777" w:rsidR="007A57C6" w:rsidRPr="00506B7E" w:rsidRDefault="007A57C6" w:rsidP="002B41A4">
            <w:pPr>
              <w:pStyle w:val="CommentText"/>
              <w:jc w:val="center"/>
              <w:rPr>
                <w:rFonts w:ascii="Arial" w:hAnsi="Arial" w:cs="Arial"/>
                <w:b/>
                <w:sz w:val="22"/>
              </w:rPr>
            </w:pPr>
          </w:p>
        </w:tc>
        <w:tc>
          <w:tcPr>
            <w:tcW w:w="1612" w:type="dxa"/>
          </w:tcPr>
          <w:p w14:paraId="37419CD3" w14:textId="77777777" w:rsidR="007A57C6" w:rsidRPr="00506B7E" w:rsidRDefault="007A57C6" w:rsidP="002B41A4">
            <w:pPr>
              <w:pStyle w:val="CommentText"/>
              <w:jc w:val="center"/>
              <w:rPr>
                <w:rFonts w:ascii="Arial" w:hAnsi="Arial" w:cs="Arial"/>
                <w:b/>
                <w:sz w:val="22"/>
              </w:rPr>
            </w:pPr>
            <w:r w:rsidRPr="00506B7E">
              <w:rPr>
                <w:rFonts w:ascii="Arial" w:hAnsi="Arial" w:cs="Arial"/>
                <w:b/>
                <w:noProof/>
                <w:sz w:val="22"/>
              </w:rPr>
              <w:t>2019/20</w:t>
            </w:r>
          </w:p>
        </w:tc>
        <w:tc>
          <w:tcPr>
            <w:tcW w:w="1520" w:type="dxa"/>
          </w:tcPr>
          <w:p w14:paraId="6B2A2CF5" w14:textId="77777777" w:rsidR="007A57C6" w:rsidRPr="00506B7E" w:rsidRDefault="007A57C6" w:rsidP="002B41A4">
            <w:pPr>
              <w:pStyle w:val="CommentText"/>
              <w:jc w:val="center"/>
              <w:rPr>
                <w:rFonts w:ascii="Arial" w:hAnsi="Arial" w:cs="Arial"/>
                <w:b/>
                <w:sz w:val="22"/>
              </w:rPr>
            </w:pPr>
            <w:r w:rsidRPr="00506B7E">
              <w:rPr>
                <w:rFonts w:ascii="Arial" w:hAnsi="Arial" w:cs="Arial"/>
                <w:b/>
                <w:noProof/>
                <w:sz w:val="22"/>
              </w:rPr>
              <w:t>2020/21</w:t>
            </w:r>
          </w:p>
        </w:tc>
        <w:tc>
          <w:tcPr>
            <w:tcW w:w="1915" w:type="dxa"/>
          </w:tcPr>
          <w:p w14:paraId="4C0B98D5" w14:textId="77777777" w:rsidR="007A57C6" w:rsidRPr="00506B7E" w:rsidRDefault="007A57C6" w:rsidP="002B41A4">
            <w:pPr>
              <w:pStyle w:val="CommentText"/>
              <w:jc w:val="center"/>
              <w:rPr>
                <w:rFonts w:ascii="Arial" w:hAnsi="Arial" w:cs="Arial"/>
                <w:b/>
                <w:noProof/>
                <w:sz w:val="22"/>
              </w:rPr>
            </w:pPr>
            <w:r w:rsidRPr="00506B7E">
              <w:rPr>
                <w:rFonts w:ascii="Arial" w:hAnsi="Arial" w:cs="Arial"/>
                <w:b/>
                <w:noProof/>
                <w:sz w:val="22"/>
              </w:rPr>
              <w:t>2021/22</w:t>
            </w:r>
          </w:p>
        </w:tc>
        <w:tc>
          <w:tcPr>
            <w:tcW w:w="1859" w:type="dxa"/>
          </w:tcPr>
          <w:p w14:paraId="73F2F785" w14:textId="77777777" w:rsidR="007A57C6" w:rsidRPr="00506B7E" w:rsidRDefault="007A57C6" w:rsidP="002B41A4">
            <w:pPr>
              <w:pStyle w:val="CommentText"/>
              <w:jc w:val="center"/>
              <w:rPr>
                <w:rFonts w:ascii="Arial" w:hAnsi="Arial" w:cs="Arial"/>
                <w:b/>
                <w:noProof/>
                <w:sz w:val="22"/>
              </w:rPr>
            </w:pPr>
            <w:r>
              <w:rPr>
                <w:rFonts w:ascii="Arial" w:hAnsi="Arial" w:cs="Arial"/>
                <w:b/>
                <w:noProof/>
                <w:sz w:val="22"/>
              </w:rPr>
              <w:t>2022/23</w:t>
            </w:r>
          </w:p>
        </w:tc>
      </w:tr>
      <w:tr w:rsidR="007A57C6" w:rsidRPr="00506B7E" w14:paraId="6A908C51" w14:textId="77777777" w:rsidTr="002B41A4">
        <w:tc>
          <w:tcPr>
            <w:tcW w:w="2110" w:type="dxa"/>
          </w:tcPr>
          <w:p w14:paraId="0C70464E" w14:textId="77777777" w:rsidR="007A57C6" w:rsidRPr="00506B7E" w:rsidRDefault="007A57C6" w:rsidP="002B41A4">
            <w:pPr>
              <w:pStyle w:val="CommentText"/>
              <w:rPr>
                <w:rFonts w:ascii="Arial" w:hAnsi="Arial" w:cs="Arial"/>
                <w:sz w:val="22"/>
              </w:rPr>
            </w:pPr>
            <w:r w:rsidRPr="00506B7E">
              <w:rPr>
                <w:rFonts w:ascii="Arial" w:hAnsi="Arial" w:cs="Arial"/>
                <w:noProof/>
                <w:sz w:val="22"/>
              </w:rPr>
              <w:t>Contacts from PHSO</w:t>
            </w:r>
          </w:p>
        </w:tc>
        <w:tc>
          <w:tcPr>
            <w:tcW w:w="1612" w:type="dxa"/>
          </w:tcPr>
          <w:p w14:paraId="4A45DE06" w14:textId="77777777" w:rsidR="007A57C6" w:rsidRDefault="007A57C6" w:rsidP="002B41A4">
            <w:pPr>
              <w:pStyle w:val="CommentText"/>
              <w:spacing w:after="0"/>
              <w:jc w:val="center"/>
              <w:rPr>
                <w:rFonts w:ascii="Arial" w:hAnsi="Arial" w:cs="Arial"/>
                <w:sz w:val="22"/>
              </w:rPr>
            </w:pPr>
            <w:r>
              <w:rPr>
                <w:rFonts w:ascii="Arial" w:hAnsi="Arial" w:cs="Arial"/>
                <w:sz w:val="22"/>
              </w:rPr>
              <w:t xml:space="preserve">Information </w:t>
            </w:r>
          </w:p>
          <w:p w14:paraId="75637527" w14:textId="77777777" w:rsidR="007A57C6" w:rsidRPr="00506B7E" w:rsidRDefault="007A57C6" w:rsidP="002B41A4">
            <w:pPr>
              <w:pStyle w:val="CommentText"/>
              <w:spacing w:after="0"/>
              <w:jc w:val="center"/>
              <w:rPr>
                <w:rFonts w:ascii="Arial" w:hAnsi="Arial" w:cs="Arial"/>
                <w:sz w:val="22"/>
              </w:rPr>
            </w:pPr>
            <w:r>
              <w:rPr>
                <w:rFonts w:ascii="Arial" w:hAnsi="Arial" w:cs="Arial"/>
                <w:sz w:val="22"/>
              </w:rPr>
              <w:t>not available</w:t>
            </w:r>
          </w:p>
        </w:tc>
        <w:tc>
          <w:tcPr>
            <w:tcW w:w="1520" w:type="dxa"/>
          </w:tcPr>
          <w:p w14:paraId="0392455E" w14:textId="77777777" w:rsidR="007A57C6" w:rsidRPr="00506B7E" w:rsidRDefault="007A57C6" w:rsidP="002B41A4">
            <w:pPr>
              <w:pStyle w:val="CommentText"/>
              <w:jc w:val="center"/>
              <w:rPr>
                <w:rFonts w:ascii="Arial" w:hAnsi="Arial" w:cs="Arial"/>
                <w:sz w:val="22"/>
              </w:rPr>
            </w:pPr>
            <w:r>
              <w:rPr>
                <w:rFonts w:ascii="Arial" w:hAnsi="Arial" w:cs="Arial"/>
                <w:sz w:val="22"/>
              </w:rPr>
              <w:t>11</w:t>
            </w:r>
          </w:p>
        </w:tc>
        <w:tc>
          <w:tcPr>
            <w:tcW w:w="1915" w:type="dxa"/>
          </w:tcPr>
          <w:p w14:paraId="1D7BE5B7" w14:textId="77777777" w:rsidR="007A57C6" w:rsidRPr="00506B7E" w:rsidRDefault="007A57C6" w:rsidP="002B41A4">
            <w:pPr>
              <w:pStyle w:val="CommentText"/>
              <w:jc w:val="center"/>
              <w:rPr>
                <w:rFonts w:ascii="Arial" w:hAnsi="Arial" w:cs="Arial"/>
                <w:sz w:val="22"/>
              </w:rPr>
            </w:pPr>
            <w:r>
              <w:rPr>
                <w:rFonts w:ascii="Arial" w:hAnsi="Arial" w:cs="Arial"/>
                <w:sz w:val="22"/>
              </w:rPr>
              <w:t>13</w:t>
            </w:r>
          </w:p>
        </w:tc>
        <w:tc>
          <w:tcPr>
            <w:tcW w:w="1859" w:type="dxa"/>
          </w:tcPr>
          <w:p w14:paraId="35286AA8" w14:textId="77777777" w:rsidR="007A57C6" w:rsidRDefault="007A57C6" w:rsidP="002B41A4">
            <w:pPr>
              <w:pStyle w:val="CommentText"/>
              <w:jc w:val="center"/>
              <w:rPr>
                <w:rFonts w:ascii="Arial" w:hAnsi="Arial" w:cs="Arial"/>
                <w:sz w:val="22"/>
              </w:rPr>
            </w:pPr>
            <w:r>
              <w:rPr>
                <w:rFonts w:ascii="Arial" w:hAnsi="Arial" w:cs="Arial"/>
                <w:sz w:val="22"/>
              </w:rPr>
              <w:t>15</w:t>
            </w:r>
          </w:p>
        </w:tc>
      </w:tr>
      <w:tr w:rsidR="007A57C6" w:rsidRPr="00506B7E" w14:paraId="72E3044B" w14:textId="77777777" w:rsidTr="002B41A4">
        <w:tc>
          <w:tcPr>
            <w:tcW w:w="2110" w:type="dxa"/>
          </w:tcPr>
          <w:p w14:paraId="4663DEBC" w14:textId="77777777" w:rsidR="007A57C6" w:rsidRPr="00506B7E" w:rsidRDefault="007A57C6" w:rsidP="002B41A4">
            <w:pPr>
              <w:pStyle w:val="CommentText"/>
              <w:rPr>
                <w:rFonts w:ascii="Arial" w:hAnsi="Arial" w:cs="Arial"/>
                <w:sz w:val="22"/>
              </w:rPr>
            </w:pPr>
            <w:r w:rsidRPr="00506B7E">
              <w:rPr>
                <w:rFonts w:ascii="Arial" w:hAnsi="Arial" w:cs="Arial"/>
                <w:noProof/>
                <w:sz w:val="22"/>
              </w:rPr>
              <w:t xml:space="preserve">Complaints </w:t>
            </w:r>
            <w:r>
              <w:rPr>
                <w:rFonts w:ascii="Arial" w:hAnsi="Arial" w:cs="Arial"/>
                <w:noProof/>
                <w:sz w:val="22"/>
              </w:rPr>
              <w:t xml:space="preserve">taken on for investigation </w:t>
            </w:r>
          </w:p>
        </w:tc>
        <w:tc>
          <w:tcPr>
            <w:tcW w:w="1612" w:type="dxa"/>
          </w:tcPr>
          <w:p w14:paraId="0064ADF0" w14:textId="77777777" w:rsidR="007A57C6" w:rsidRPr="00506B7E" w:rsidRDefault="007A57C6" w:rsidP="002B41A4">
            <w:pPr>
              <w:pStyle w:val="CommentText"/>
              <w:jc w:val="center"/>
              <w:rPr>
                <w:rFonts w:ascii="Arial" w:hAnsi="Arial" w:cs="Arial"/>
                <w:sz w:val="22"/>
              </w:rPr>
            </w:pPr>
            <w:r>
              <w:rPr>
                <w:rFonts w:ascii="Arial" w:hAnsi="Arial" w:cs="Arial"/>
                <w:sz w:val="22"/>
              </w:rPr>
              <w:t>3</w:t>
            </w:r>
          </w:p>
        </w:tc>
        <w:tc>
          <w:tcPr>
            <w:tcW w:w="1520" w:type="dxa"/>
          </w:tcPr>
          <w:p w14:paraId="31718949" w14:textId="77777777" w:rsidR="007A57C6" w:rsidRPr="00506B7E" w:rsidRDefault="007A57C6" w:rsidP="002B41A4">
            <w:pPr>
              <w:pStyle w:val="CommentText"/>
              <w:jc w:val="center"/>
              <w:rPr>
                <w:rFonts w:ascii="Arial" w:hAnsi="Arial" w:cs="Arial"/>
                <w:sz w:val="22"/>
              </w:rPr>
            </w:pPr>
            <w:r>
              <w:rPr>
                <w:rFonts w:ascii="Arial" w:hAnsi="Arial" w:cs="Arial"/>
                <w:sz w:val="22"/>
              </w:rPr>
              <w:t>3</w:t>
            </w:r>
          </w:p>
        </w:tc>
        <w:tc>
          <w:tcPr>
            <w:tcW w:w="1915" w:type="dxa"/>
          </w:tcPr>
          <w:p w14:paraId="6BAC78BB" w14:textId="77777777" w:rsidR="007A57C6" w:rsidRPr="00506B7E" w:rsidRDefault="007A57C6" w:rsidP="002B41A4">
            <w:pPr>
              <w:pStyle w:val="CommentText"/>
              <w:jc w:val="center"/>
              <w:rPr>
                <w:rFonts w:ascii="Arial" w:hAnsi="Arial" w:cs="Arial"/>
                <w:sz w:val="22"/>
              </w:rPr>
            </w:pPr>
            <w:r>
              <w:rPr>
                <w:rFonts w:ascii="Arial" w:hAnsi="Arial" w:cs="Arial"/>
                <w:sz w:val="22"/>
              </w:rPr>
              <w:t>4</w:t>
            </w:r>
          </w:p>
        </w:tc>
        <w:tc>
          <w:tcPr>
            <w:tcW w:w="1859" w:type="dxa"/>
          </w:tcPr>
          <w:p w14:paraId="52A08389" w14:textId="77777777" w:rsidR="007A57C6" w:rsidRDefault="007A57C6" w:rsidP="002B41A4">
            <w:pPr>
              <w:pStyle w:val="CommentText"/>
              <w:jc w:val="center"/>
              <w:rPr>
                <w:rFonts w:ascii="Arial" w:hAnsi="Arial" w:cs="Arial"/>
                <w:sz w:val="22"/>
              </w:rPr>
            </w:pPr>
            <w:r>
              <w:rPr>
                <w:rFonts w:ascii="Arial" w:hAnsi="Arial" w:cs="Arial"/>
                <w:sz w:val="22"/>
              </w:rPr>
              <w:t>1</w:t>
            </w:r>
          </w:p>
        </w:tc>
      </w:tr>
      <w:tr w:rsidR="007A57C6" w:rsidRPr="00506B7E" w14:paraId="54EED650" w14:textId="77777777" w:rsidTr="002B41A4">
        <w:tc>
          <w:tcPr>
            <w:tcW w:w="2110" w:type="dxa"/>
          </w:tcPr>
          <w:p w14:paraId="0A28B62C" w14:textId="77777777" w:rsidR="007A57C6" w:rsidRPr="00506B7E" w:rsidRDefault="007A57C6" w:rsidP="002B41A4">
            <w:pPr>
              <w:pStyle w:val="CommentText"/>
              <w:rPr>
                <w:rFonts w:ascii="Arial" w:hAnsi="Arial" w:cs="Arial"/>
                <w:sz w:val="22"/>
              </w:rPr>
            </w:pPr>
            <w:r>
              <w:rPr>
                <w:rFonts w:ascii="Arial" w:hAnsi="Arial" w:cs="Arial"/>
                <w:noProof/>
                <w:sz w:val="22"/>
              </w:rPr>
              <w:t>C</w:t>
            </w:r>
            <w:r w:rsidRPr="00506B7E">
              <w:rPr>
                <w:rFonts w:ascii="Arial" w:hAnsi="Arial" w:cs="Arial"/>
                <w:noProof/>
                <w:sz w:val="22"/>
              </w:rPr>
              <w:t xml:space="preserve">omplaints fully </w:t>
            </w:r>
            <w:r>
              <w:rPr>
                <w:rFonts w:ascii="Arial" w:hAnsi="Arial" w:cs="Arial"/>
                <w:noProof/>
                <w:sz w:val="22"/>
              </w:rPr>
              <w:t>or</w:t>
            </w:r>
            <w:r w:rsidRPr="00506B7E">
              <w:rPr>
                <w:rFonts w:ascii="Arial" w:hAnsi="Arial" w:cs="Arial"/>
                <w:noProof/>
                <w:sz w:val="22"/>
              </w:rPr>
              <w:t xml:space="preserve"> partially upheld </w:t>
            </w:r>
          </w:p>
        </w:tc>
        <w:tc>
          <w:tcPr>
            <w:tcW w:w="1612" w:type="dxa"/>
          </w:tcPr>
          <w:p w14:paraId="56E17273" w14:textId="77777777" w:rsidR="007A57C6" w:rsidRPr="00506B7E" w:rsidRDefault="007A57C6" w:rsidP="002B41A4">
            <w:pPr>
              <w:pStyle w:val="CommentText"/>
              <w:jc w:val="center"/>
              <w:rPr>
                <w:rFonts w:ascii="Arial" w:hAnsi="Arial" w:cs="Arial"/>
                <w:sz w:val="22"/>
              </w:rPr>
            </w:pPr>
            <w:r>
              <w:rPr>
                <w:rFonts w:ascii="Arial" w:hAnsi="Arial" w:cs="Arial"/>
                <w:sz w:val="22"/>
              </w:rPr>
              <w:t>1</w:t>
            </w:r>
          </w:p>
        </w:tc>
        <w:tc>
          <w:tcPr>
            <w:tcW w:w="1520" w:type="dxa"/>
          </w:tcPr>
          <w:p w14:paraId="21F09606" w14:textId="77777777" w:rsidR="007A57C6" w:rsidRPr="00506B7E" w:rsidRDefault="007A57C6" w:rsidP="002B41A4">
            <w:pPr>
              <w:pStyle w:val="CommentText"/>
              <w:jc w:val="center"/>
              <w:rPr>
                <w:rFonts w:ascii="Arial" w:hAnsi="Arial" w:cs="Arial"/>
                <w:sz w:val="22"/>
              </w:rPr>
            </w:pPr>
            <w:r>
              <w:rPr>
                <w:rFonts w:ascii="Arial" w:hAnsi="Arial" w:cs="Arial"/>
                <w:sz w:val="22"/>
              </w:rPr>
              <w:t>5</w:t>
            </w:r>
          </w:p>
        </w:tc>
        <w:tc>
          <w:tcPr>
            <w:tcW w:w="1915" w:type="dxa"/>
          </w:tcPr>
          <w:p w14:paraId="25B81B67" w14:textId="77777777" w:rsidR="007A57C6" w:rsidRPr="00506B7E" w:rsidRDefault="007A57C6" w:rsidP="002B41A4">
            <w:pPr>
              <w:pStyle w:val="CommentText"/>
              <w:jc w:val="center"/>
              <w:rPr>
                <w:rFonts w:ascii="Arial" w:hAnsi="Arial" w:cs="Arial"/>
                <w:sz w:val="22"/>
              </w:rPr>
            </w:pPr>
            <w:r>
              <w:rPr>
                <w:rFonts w:ascii="Arial" w:hAnsi="Arial" w:cs="Arial"/>
                <w:sz w:val="22"/>
              </w:rPr>
              <w:t>2</w:t>
            </w:r>
          </w:p>
        </w:tc>
        <w:tc>
          <w:tcPr>
            <w:tcW w:w="1859" w:type="dxa"/>
          </w:tcPr>
          <w:p w14:paraId="2300133D" w14:textId="77777777" w:rsidR="007A57C6" w:rsidRDefault="007A57C6" w:rsidP="002B41A4">
            <w:pPr>
              <w:pStyle w:val="CommentText"/>
              <w:jc w:val="center"/>
              <w:rPr>
                <w:rFonts w:ascii="Arial" w:hAnsi="Arial" w:cs="Arial"/>
                <w:sz w:val="22"/>
              </w:rPr>
            </w:pPr>
            <w:r>
              <w:rPr>
                <w:rFonts w:ascii="Arial" w:hAnsi="Arial" w:cs="Arial"/>
                <w:sz w:val="22"/>
              </w:rPr>
              <w:t>1</w:t>
            </w:r>
          </w:p>
        </w:tc>
      </w:tr>
      <w:tr w:rsidR="007A57C6" w:rsidRPr="00506B7E" w14:paraId="4E5446F9" w14:textId="77777777" w:rsidTr="002B41A4">
        <w:tc>
          <w:tcPr>
            <w:tcW w:w="2110" w:type="dxa"/>
          </w:tcPr>
          <w:p w14:paraId="69A09C04" w14:textId="77777777" w:rsidR="007A57C6" w:rsidRPr="00506B7E" w:rsidRDefault="007A57C6" w:rsidP="002B41A4">
            <w:pPr>
              <w:pStyle w:val="CommentText"/>
              <w:rPr>
                <w:rFonts w:ascii="Arial" w:hAnsi="Arial" w:cs="Arial"/>
                <w:sz w:val="22"/>
              </w:rPr>
            </w:pPr>
            <w:r w:rsidRPr="00506B7E">
              <w:rPr>
                <w:rFonts w:ascii="Arial" w:hAnsi="Arial" w:cs="Arial"/>
                <w:noProof/>
                <w:sz w:val="22"/>
              </w:rPr>
              <w:lastRenderedPageBreak/>
              <w:t xml:space="preserve">Complaints not upheld </w:t>
            </w:r>
          </w:p>
        </w:tc>
        <w:tc>
          <w:tcPr>
            <w:tcW w:w="1612" w:type="dxa"/>
          </w:tcPr>
          <w:p w14:paraId="518E474E" w14:textId="77777777" w:rsidR="007A57C6" w:rsidRPr="00506B7E" w:rsidRDefault="007A57C6" w:rsidP="002B41A4">
            <w:pPr>
              <w:pStyle w:val="CommentText"/>
              <w:jc w:val="center"/>
              <w:rPr>
                <w:rFonts w:ascii="Arial" w:hAnsi="Arial" w:cs="Arial"/>
                <w:sz w:val="22"/>
              </w:rPr>
            </w:pPr>
            <w:r>
              <w:rPr>
                <w:rFonts w:ascii="Arial" w:hAnsi="Arial" w:cs="Arial"/>
                <w:sz w:val="22"/>
              </w:rPr>
              <w:t>1</w:t>
            </w:r>
          </w:p>
        </w:tc>
        <w:tc>
          <w:tcPr>
            <w:tcW w:w="1520" w:type="dxa"/>
          </w:tcPr>
          <w:p w14:paraId="5A524CDB" w14:textId="77777777" w:rsidR="007A57C6" w:rsidRPr="00506B7E" w:rsidRDefault="007A57C6" w:rsidP="002B41A4">
            <w:pPr>
              <w:pStyle w:val="CommentText"/>
              <w:jc w:val="center"/>
              <w:rPr>
                <w:rFonts w:ascii="Arial" w:hAnsi="Arial" w:cs="Arial"/>
                <w:sz w:val="22"/>
              </w:rPr>
            </w:pPr>
            <w:r>
              <w:rPr>
                <w:rFonts w:ascii="Arial" w:hAnsi="Arial" w:cs="Arial"/>
                <w:sz w:val="22"/>
              </w:rPr>
              <w:t>0</w:t>
            </w:r>
          </w:p>
        </w:tc>
        <w:tc>
          <w:tcPr>
            <w:tcW w:w="1915" w:type="dxa"/>
          </w:tcPr>
          <w:p w14:paraId="225B5F60" w14:textId="77777777" w:rsidR="007A57C6" w:rsidRPr="00506B7E" w:rsidRDefault="007A57C6" w:rsidP="002B41A4">
            <w:pPr>
              <w:pStyle w:val="CommentText"/>
              <w:jc w:val="center"/>
              <w:rPr>
                <w:rFonts w:ascii="Arial" w:hAnsi="Arial" w:cs="Arial"/>
                <w:sz w:val="22"/>
              </w:rPr>
            </w:pPr>
            <w:r>
              <w:rPr>
                <w:rFonts w:ascii="Arial" w:hAnsi="Arial" w:cs="Arial"/>
                <w:sz w:val="22"/>
              </w:rPr>
              <w:t>2</w:t>
            </w:r>
          </w:p>
        </w:tc>
        <w:tc>
          <w:tcPr>
            <w:tcW w:w="1859" w:type="dxa"/>
          </w:tcPr>
          <w:p w14:paraId="2666BC58" w14:textId="77777777" w:rsidR="007A57C6" w:rsidRDefault="007A57C6" w:rsidP="002B41A4">
            <w:pPr>
              <w:pStyle w:val="CommentText"/>
              <w:jc w:val="center"/>
              <w:rPr>
                <w:rFonts w:ascii="Arial" w:hAnsi="Arial" w:cs="Arial"/>
                <w:sz w:val="22"/>
              </w:rPr>
            </w:pPr>
            <w:r>
              <w:rPr>
                <w:rFonts w:ascii="Arial" w:hAnsi="Arial" w:cs="Arial"/>
                <w:sz w:val="22"/>
              </w:rPr>
              <w:t>0</w:t>
            </w:r>
          </w:p>
        </w:tc>
      </w:tr>
    </w:tbl>
    <w:p w14:paraId="66C6A392" w14:textId="77777777" w:rsidR="007A57C6" w:rsidRDefault="007A57C6" w:rsidP="00E46AB2">
      <w:pPr>
        <w:spacing w:after="0"/>
        <w:jc w:val="both"/>
        <w:rPr>
          <w:rFonts w:cs="Arial"/>
          <w:sz w:val="22"/>
        </w:rPr>
      </w:pPr>
    </w:p>
    <w:p w14:paraId="68193530" w14:textId="339E9BAA" w:rsidR="004540A7" w:rsidRPr="00E46AB2" w:rsidRDefault="004540A7" w:rsidP="00E46AB2">
      <w:pPr>
        <w:spacing w:after="0"/>
        <w:jc w:val="both"/>
        <w:rPr>
          <w:rFonts w:cs="Arial"/>
          <w:sz w:val="22"/>
        </w:rPr>
      </w:pPr>
      <w:r w:rsidRPr="00E46AB2">
        <w:rPr>
          <w:rFonts w:cs="Arial"/>
          <w:sz w:val="22"/>
        </w:rPr>
        <w:t xml:space="preserve">21 </w:t>
      </w:r>
      <w:r w:rsidR="00F64AEE">
        <w:rPr>
          <w:rFonts w:cs="Arial"/>
          <w:sz w:val="22"/>
        </w:rPr>
        <w:t xml:space="preserve">requests for files and records </w:t>
      </w:r>
      <w:r w:rsidR="0082070B">
        <w:rPr>
          <w:rFonts w:cs="Arial"/>
          <w:sz w:val="22"/>
        </w:rPr>
        <w:t xml:space="preserve">were </w:t>
      </w:r>
      <w:r w:rsidR="00F64AEE">
        <w:rPr>
          <w:rFonts w:cs="Arial"/>
          <w:sz w:val="22"/>
        </w:rPr>
        <w:t xml:space="preserve">made </w:t>
      </w:r>
      <w:r w:rsidR="0082070B">
        <w:rPr>
          <w:rFonts w:cs="Arial"/>
          <w:sz w:val="22"/>
        </w:rPr>
        <w:t xml:space="preserve">by </w:t>
      </w:r>
      <w:r w:rsidRPr="00E46AB2">
        <w:rPr>
          <w:rFonts w:cs="Arial"/>
          <w:sz w:val="22"/>
        </w:rPr>
        <w:t>the PHSO during April 2023</w:t>
      </w:r>
      <w:r w:rsidR="00F64AEE">
        <w:rPr>
          <w:rFonts w:cs="Arial"/>
          <w:sz w:val="22"/>
        </w:rPr>
        <w:t xml:space="preserve"> – </w:t>
      </w:r>
      <w:r w:rsidRPr="00E46AB2">
        <w:rPr>
          <w:rFonts w:cs="Arial"/>
          <w:sz w:val="22"/>
        </w:rPr>
        <w:t>March</w:t>
      </w:r>
      <w:r w:rsidR="00F64AEE">
        <w:rPr>
          <w:rFonts w:cs="Arial"/>
          <w:sz w:val="22"/>
        </w:rPr>
        <w:t xml:space="preserve"> </w:t>
      </w:r>
      <w:r w:rsidRPr="00E46AB2">
        <w:rPr>
          <w:rFonts w:cs="Arial"/>
          <w:sz w:val="22"/>
        </w:rPr>
        <w:t xml:space="preserve">2024.  </w:t>
      </w:r>
      <w:r w:rsidR="00F64AEE">
        <w:rPr>
          <w:rFonts w:cs="Arial"/>
          <w:sz w:val="22"/>
        </w:rPr>
        <w:t xml:space="preserve">Six complaints </w:t>
      </w:r>
      <w:r w:rsidRPr="00E46AB2">
        <w:rPr>
          <w:rFonts w:cs="Arial"/>
          <w:sz w:val="22"/>
        </w:rPr>
        <w:t xml:space="preserve">were subsequently taken on for investigation.  </w:t>
      </w:r>
      <w:r w:rsidR="0082070B">
        <w:rPr>
          <w:rFonts w:cs="Arial"/>
          <w:sz w:val="22"/>
        </w:rPr>
        <w:t>T</w:t>
      </w:r>
      <w:r w:rsidRPr="00E46AB2">
        <w:rPr>
          <w:rFonts w:cs="Arial"/>
          <w:sz w:val="22"/>
        </w:rPr>
        <w:t>here are seven complaints currently open with the PHSO for investigation:</w:t>
      </w:r>
    </w:p>
    <w:p w14:paraId="2A1A738A" w14:textId="77777777" w:rsidR="004540A7" w:rsidRPr="00E46AB2" w:rsidRDefault="004540A7" w:rsidP="00E46AB2">
      <w:pPr>
        <w:spacing w:after="0"/>
        <w:jc w:val="both"/>
        <w:rPr>
          <w:rFonts w:cs="Arial"/>
          <w:sz w:val="22"/>
        </w:rPr>
      </w:pPr>
    </w:p>
    <w:tbl>
      <w:tblPr>
        <w:tblW w:w="9312" w:type="dxa"/>
        <w:tblLook w:val="04A0" w:firstRow="1" w:lastRow="0" w:firstColumn="1" w:lastColumn="0" w:noHBand="0" w:noVBand="1"/>
      </w:tblPr>
      <w:tblGrid>
        <w:gridCol w:w="717"/>
        <w:gridCol w:w="1511"/>
        <w:gridCol w:w="2440"/>
        <w:gridCol w:w="2100"/>
        <w:gridCol w:w="1277"/>
        <w:gridCol w:w="1267"/>
      </w:tblGrid>
      <w:tr w:rsidR="004540A7" w:rsidRPr="002D1C7E" w14:paraId="123E0BAE" w14:textId="77777777" w:rsidTr="00064BC1">
        <w:trPr>
          <w:trHeight w:val="720"/>
        </w:trPr>
        <w:tc>
          <w:tcPr>
            <w:tcW w:w="67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3CF4DB2" w14:textId="77777777" w:rsidR="004540A7" w:rsidRPr="002D1C7E" w:rsidRDefault="004540A7" w:rsidP="00064BC1">
            <w:pPr>
              <w:spacing w:after="0"/>
              <w:jc w:val="center"/>
              <w:rPr>
                <w:rFonts w:eastAsia="Times New Roman" w:cs="Arial"/>
                <w:b/>
                <w:bCs/>
                <w:sz w:val="18"/>
                <w:szCs w:val="18"/>
                <w:lang w:eastAsia="en-GB"/>
              </w:rPr>
            </w:pPr>
            <w:r w:rsidRPr="002D1C7E">
              <w:rPr>
                <w:rFonts w:eastAsia="Times New Roman" w:cs="Arial"/>
                <w:b/>
                <w:bCs/>
                <w:sz w:val="18"/>
                <w:szCs w:val="18"/>
                <w:lang w:eastAsia="en-GB"/>
              </w:rPr>
              <w:t>ID</w:t>
            </w:r>
          </w:p>
        </w:tc>
        <w:tc>
          <w:tcPr>
            <w:tcW w:w="1788" w:type="dxa"/>
            <w:tcBorders>
              <w:top w:val="single" w:sz="4" w:space="0" w:color="auto"/>
              <w:left w:val="nil"/>
              <w:bottom w:val="single" w:sz="4" w:space="0" w:color="auto"/>
              <w:right w:val="single" w:sz="4" w:space="0" w:color="auto"/>
            </w:tcBorders>
            <w:shd w:val="clear" w:color="000000" w:fill="F2F2F2"/>
            <w:vAlign w:val="center"/>
            <w:hideMark/>
          </w:tcPr>
          <w:p w14:paraId="52E49A54" w14:textId="77777777" w:rsidR="004540A7" w:rsidRPr="002D1C7E" w:rsidRDefault="004540A7" w:rsidP="00064BC1">
            <w:pPr>
              <w:spacing w:after="0"/>
              <w:jc w:val="center"/>
              <w:rPr>
                <w:rFonts w:eastAsia="Times New Roman" w:cs="Arial"/>
                <w:b/>
                <w:bCs/>
                <w:sz w:val="18"/>
                <w:szCs w:val="18"/>
                <w:lang w:eastAsia="en-GB"/>
              </w:rPr>
            </w:pPr>
            <w:r w:rsidRPr="002D1C7E">
              <w:rPr>
                <w:rFonts w:eastAsia="Times New Roman" w:cs="Arial"/>
                <w:b/>
                <w:bCs/>
                <w:sz w:val="18"/>
                <w:szCs w:val="18"/>
                <w:lang w:eastAsia="en-GB"/>
              </w:rPr>
              <w:t>Site</w:t>
            </w:r>
          </w:p>
        </w:tc>
        <w:tc>
          <w:tcPr>
            <w:tcW w:w="2440" w:type="dxa"/>
            <w:tcBorders>
              <w:top w:val="single" w:sz="4" w:space="0" w:color="auto"/>
              <w:left w:val="nil"/>
              <w:bottom w:val="single" w:sz="4" w:space="0" w:color="auto"/>
              <w:right w:val="single" w:sz="4" w:space="0" w:color="auto"/>
            </w:tcBorders>
            <w:shd w:val="clear" w:color="000000" w:fill="F2F2F2"/>
            <w:vAlign w:val="center"/>
            <w:hideMark/>
          </w:tcPr>
          <w:p w14:paraId="27015B3D" w14:textId="77777777" w:rsidR="004540A7" w:rsidRPr="002D1C7E" w:rsidRDefault="004540A7" w:rsidP="00064BC1">
            <w:pPr>
              <w:spacing w:after="0"/>
              <w:jc w:val="center"/>
              <w:rPr>
                <w:rFonts w:eastAsia="Times New Roman" w:cs="Arial"/>
                <w:b/>
                <w:bCs/>
                <w:sz w:val="18"/>
                <w:szCs w:val="18"/>
                <w:lang w:eastAsia="en-GB"/>
              </w:rPr>
            </w:pPr>
            <w:r w:rsidRPr="002D1C7E">
              <w:rPr>
                <w:rFonts w:eastAsia="Times New Roman" w:cs="Arial"/>
                <w:b/>
                <w:bCs/>
                <w:sz w:val="18"/>
                <w:szCs w:val="18"/>
                <w:lang w:eastAsia="en-GB"/>
              </w:rPr>
              <w:t>Division</w:t>
            </w:r>
          </w:p>
        </w:tc>
        <w:tc>
          <w:tcPr>
            <w:tcW w:w="2100" w:type="dxa"/>
            <w:tcBorders>
              <w:top w:val="single" w:sz="4" w:space="0" w:color="auto"/>
              <w:left w:val="nil"/>
              <w:bottom w:val="single" w:sz="4" w:space="0" w:color="auto"/>
              <w:right w:val="single" w:sz="4" w:space="0" w:color="auto"/>
            </w:tcBorders>
            <w:shd w:val="clear" w:color="000000" w:fill="F2F2F2"/>
            <w:vAlign w:val="center"/>
            <w:hideMark/>
          </w:tcPr>
          <w:p w14:paraId="7A15FB03" w14:textId="77777777" w:rsidR="004540A7" w:rsidRPr="002D1C7E" w:rsidRDefault="004540A7" w:rsidP="00064BC1">
            <w:pPr>
              <w:spacing w:after="0"/>
              <w:jc w:val="center"/>
              <w:rPr>
                <w:rFonts w:eastAsia="Times New Roman" w:cs="Arial"/>
                <w:b/>
                <w:bCs/>
                <w:sz w:val="18"/>
                <w:szCs w:val="18"/>
                <w:lang w:eastAsia="en-GB"/>
              </w:rPr>
            </w:pPr>
            <w:r w:rsidRPr="002D1C7E">
              <w:rPr>
                <w:rFonts w:eastAsia="Times New Roman" w:cs="Arial"/>
                <w:b/>
                <w:bCs/>
                <w:sz w:val="18"/>
                <w:szCs w:val="18"/>
                <w:lang w:eastAsia="en-GB"/>
              </w:rPr>
              <w:t>Specialty</w:t>
            </w:r>
          </w:p>
        </w:tc>
        <w:tc>
          <w:tcPr>
            <w:tcW w:w="1180" w:type="dxa"/>
            <w:tcBorders>
              <w:top w:val="single" w:sz="4" w:space="0" w:color="auto"/>
              <w:left w:val="nil"/>
              <w:bottom w:val="single" w:sz="4" w:space="0" w:color="auto"/>
              <w:right w:val="single" w:sz="4" w:space="0" w:color="auto"/>
            </w:tcBorders>
            <w:shd w:val="clear" w:color="000000" w:fill="F2F2F2"/>
            <w:vAlign w:val="center"/>
            <w:hideMark/>
          </w:tcPr>
          <w:p w14:paraId="384BA9B6" w14:textId="77777777" w:rsidR="004540A7" w:rsidRPr="002D1C7E" w:rsidRDefault="004540A7" w:rsidP="00064BC1">
            <w:pPr>
              <w:spacing w:after="0"/>
              <w:jc w:val="center"/>
              <w:rPr>
                <w:rFonts w:eastAsia="Times New Roman" w:cs="Arial"/>
                <w:b/>
                <w:bCs/>
                <w:sz w:val="18"/>
                <w:szCs w:val="18"/>
                <w:lang w:eastAsia="en-GB"/>
              </w:rPr>
            </w:pPr>
            <w:r w:rsidRPr="002D1C7E">
              <w:rPr>
                <w:rFonts w:eastAsia="Times New Roman" w:cs="Arial"/>
                <w:b/>
                <w:bCs/>
                <w:sz w:val="18"/>
                <w:szCs w:val="18"/>
                <w:lang w:eastAsia="en-GB"/>
              </w:rPr>
              <w:t>Final Response to complainant</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14:paraId="49BA7C44" w14:textId="77777777" w:rsidR="004540A7" w:rsidRPr="002D1C7E" w:rsidRDefault="004540A7" w:rsidP="00064BC1">
            <w:pPr>
              <w:spacing w:after="0"/>
              <w:jc w:val="center"/>
              <w:rPr>
                <w:rFonts w:eastAsia="Times New Roman" w:cs="Arial"/>
                <w:b/>
                <w:bCs/>
                <w:sz w:val="18"/>
                <w:szCs w:val="18"/>
                <w:lang w:eastAsia="en-GB"/>
              </w:rPr>
            </w:pPr>
            <w:r w:rsidRPr="002D1C7E">
              <w:rPr>
                <w:rFonts w:eastAsia="Times New Roman" w:cs="Arial"/>
                <w:b/>
                <w:bCs/>
                <w:sz w:val="18"/>
                <w:szCs w:val="18"/>
                <w:lang w:eastAsia="en-GB"/>
              </w:rPr>
              <w:t>PHSO commenced process</w:t>
            </w:r>
          </w:p>
        </w:tc>
      </w:tr>
      <w:tr w:rsidR="004540A7" w:rsidRPr="002D1C7E" w14:paraId="6328CDE3" w14:textId="77777777" w:rsidTr="00064BC1">
        <w:trPr>
          <w:trHeight w:val="720"/>
        </w:trPr>
        <w:tc>
          <w:tcPr>
            <w:tcW w:w="673" w:type="dxa"/>
            <w:tcBorders>
              <w:top w:val="nil"/>
              <w:left w:val="single" w:sz="4" w:space="0" w:color="auto"/>
              <w:bottom w:val="single" w:sz="4" w:space="0" w:color="auto"/>
              <w:right w:val="single" w:sz="4" w:space="0" w:color="auto"/>
            </w:tcBorders>
            <w:shd w:val="clear" w:color="000000" w:fill="9933FF"/>
            <w:noWrap/>
            <w:vAlign w:val="center"/>
            <w:hideMark/>
          </w:tcPr>
          <w:p w14:paraId="7152D6EB" w14:textId="77777777" w:rsidR="004540A7" w:rsidRPr="002D1C7E" w:rsidRDefault="004540A7" w:rsidP="00064BC1">
            <w:pPr>
              <w:spacing w:after="0"/>
              <w:jc w:val="center"/>
              <w:rPr>
                <w:rFonts w:eastAsia="Times New Roman" w:cs="Arial"/>
                <w:color w:val="FFFFFF"/>
                <w:sz w:val="18"/>
                <w:szCs w:val="18"/>
                <w:lang w:eastAsia="en-GB"/>
              </w:rPr>
            </w:pPr>
            <w:r w:rsidRPr="002D1C7E">
              <w:rPr>
                <w:rFonts w:eastAsia="Times New Roman" w:cs="Arial"/>
                <w:color w:val="FFFFFF"/>
                <w:sz w:val="18"/>
                <w:szCs w:val="18"/>
                <w:lang w:eastAsia="en-GB"/>
              </w:rPr>
              <w:t>17674</w:t>
            </w:r>
          </w:p>
        </w:tc>
        <w:tc>
          <w:tcPr>
            <w:tcW w:w="1788" w:type="dxa"/>
            <w:tcBorders>
              <w:top w:val="nil"/>
              <w:left w:val="nil"/>
              <w:bottom w:val="single" w:sz="4" w:space="0" w:color="auto"/>
              <w:right w:val="single" w:sz="4" w:space="0" w:color="auto"/>
            </w:tcBorders>
            <w:shd w:val="clear" w:color="000000" w:fill="0033CC"/>
            <w:vAlign w:val="center"/>
            <w:hideMark/>
          </w:tcPr>
          <w:p w14:paraId="120BE4DE" w14:textId="77777777" w:rsidR="004540A7" w:rsidRPr="002D1C7E" w:rsidRDefault="004540A7" w:rsidP="00064BC1">
            <w:pPr>
              <w:spacing w:after="0"/>
              <w:jc w:val="center"/>
              <w:rPr>
                <w:rFonts w:eastAsia="Times New Roman" w:cs="Arial"/>
                <w:color w:val="000000"/>
                <w:sz w:val="18"/>
                <w:szCs w:val="18"/>
                <w:lang w:eastAsia="en-GB"/>
              </w:rPr>
            </w:pPr>
            <w:r w:rsidRPr="002D1C7E">
              <w:rPr>
                <w:rFonts w:eastAsia="Times New Roman" w:cs="Arial"/>
                <w:color w:val="000000"/>
                <w:sz w:val="18"/>
                <w:szCs w:val="18"/>
                <w:lang w:eastAsia="en-GB"/>
              </w:rPr>
              <w:t>Chelsea and Westminster Hospital</w:t>
            </w:r>
          </w:p>
        </w:tc>
        <w:tc>
          <w:tcPr>
            <w:tcW w:w="2440" w:type="dxa"/>
            <w:tcBorders>
              <w:top w:val="nil"/>
              <w:left w:val="nil"/>
              <w:bottom w:val="single" w:sz="4" w:space="0" w:color="auto"/>
              <w:right w:val="single" w:sz="4" w:space="0" w:color="auto"/>
            </w:tcBorders>
            <w:shd w:val="clear" w:color="000000" w:fill="9933FF"/>
            <w:noWrap/>
            <w:vAlign w:val="center"/>
            <w:hideMark/>
          </w:tcPr>
          <w:p w14:paraId="6D57D6E9" w14:textId="77777777" w:rsidR="004540A7" w:rsidRPr="002D1C7E" w:rsidRDefault="004540A7" w:rsidP="00064BC1">
            <w:pPr>
              <w:spacing w:after="0"/>
              <w:jc w:val="center"/>
              <w:rPr>
                <w:rFonts w:eastAsia="Times New Roman" w:cs="Arial"/>
                <w:color w:val="000000"/>
                <w:sz w:val="18"/>
                <w:szCs w:val="18"/>
                <w:lang w:eastAsia="en-GB"/>
              </w:rPr>
            </w:pPr>
            <w:r w:rsidRPr="002D1C7E">
              <w:rPr>
                <w:rFonts w:eastAsia="Times New Roman" w:cs="Arial"/>
                <w:color w:val="000000"/>
                <w:sz w:val="18"/>
                <w:szCs w:val="18"/>
                <w:lang w:eastAsia="en-GB"/>
              </w:rPr>
              <w:t>Specialist Care</w:t>
            </w:r>
          </w:p>
        </w:tc>
        <w:tc>
          <w:tcPr>
            <w:tcW w:w="2100" w:type="dxa"/>
            <w:tcBorders>
              <w:top w:val="nil"/>
              <w:left w:val="nil"/>
              <w:bottom w:val="single" w:sz="4" w:space="0" w:color="auto"/>
              <w:right w:val="single" w:sz="4" w:space="0" w:color="auto"/>
            </w:tcBorders>
            <w:shd w:val="clear" w:color="000000" w:fill="FDE9D9"/>
            <w:noWrap/>
            <w:vAlign w:val="center"/>
            <w:hideMark/>
          </w:tcPr>
          <w:p w14:paraId="5DDCA6AC" w14:textId="77777777" w:rsidR="004540A7" w:rsidRPr="002D1C7E" w:rsidRDefault="004540A7" w:rsidP="00064BC1">
            <w:pPr>
              <w:spacing w:after="0"/>
              <w:jc w:val="center"/>
              <w:rPr>
                <w:rFonts w:eastAsia="Times New Roman" w:cs="Arial"/>
                <w:color w:val="000000"/>
                <w:sz w:val="18"/>
                <w:szCs w:val="18"/>
                <w:lang w:eastAsia="en-GB"/>
              </w:rPr>
            </w:pPr>
            <w:r w:rsidRPr="002D1C7E">
              <w:rPr>
                <w:rFonts w:eastAsia="Times New Roman" w:cs="Arial"/>
                <w:color w:val="000000"/>
                <w:sz w:val="18"/>
                <w:szCs w:val="18"/>
                <w:lang w:eastAsia="en-GB"/>
              </w:rPr>
              <w:t>Maternity</w:t>
            </w:r>
          </w:p>
        </w:tc>
        <w:tc>
          <w:tcPr>
            <w:tcW w:w="1180" w:type="dxa"/>
            <w:tcBorders>
              <w:top w:val="nil"/>
              <w:left w:val="nil"/>
              <w:bottom w:val="single" w:sz="4" w:space="0" w:color="auto"/>
              <w:right w:val="single" w:sz="4" w:space="0" w:color="auto"/>
            </w:tcBorders>
            <w:shd w:val="clear" w:color="auto" w:fill="auto"/>
            <w:noWrap/>
            <w:vAlign w:val="center"/>
            <w:hideMark/>
          </w:tcPr>
          <w:p w14:paraId="74F30267" w14:textId="77777777" w:rsidR="004540A7" w:rsidRPr="002D1C7E" w:rsidRDefault="004540A7" w:rsidP="00064BC1">
            <w:pPr>
              <w:spacing w:after="0"/>
              <w:jc w:val="center"/>
              <w:rPr>
                <w:rFonts w:eastAsia="Times New Roman" w:cs="Arial"/>
                <w:color w:val="000000"/>
                <w:sz w:val="18"/>
                <w:szCs w:val="18"/>
                <w:lang w:eastAsia="en-GB"/>
              </w:rPr>
            </w:pPr>
            <w:r w:rsidRPr="002D1C7E">
              <w:rPr>
                <w:rFonts w:eastAsia="Times New Roman" w:cs="Arial"/>
                <w:color w:val="000000"/>
                <w:sz w:val="18"/>
                <w:szCs w:val="18"/>
                <w:lang w:eastAsia="en-GB"/>
              </w:rPr>
              <w:t>13.7.21</w:t>
            </w:r>
          </w:p>
        </w:tc>
        <w:tc>
          <w:tcPr>
            <w:tcW w:w="1131" w:type="dxa"/>
            <w:tcBorders>
              <w:top w:val="nil"/>
              <w:left w:val="nil"/>
              <w:bottom w:val="single" w:sz="4" w:space="0" w:color="auto"/>
              <w:right w:val="single" w:sz="4" w:space="0" w:color="auto"/>
            </w:tcBorders>
            <w:shd w:val="clear" w:color="auto" w:fill="auto"/>
            <w:noWrap/>
            <w:vAlign w:val="center"/>
            <w:hideMark/>
          </w:tcPr>
          <w:p w14:paraId="29B0152B" w14:textId="77777777" w:rsidR="004540A7" w:rsidRPr="002D1C7E" w:rsidRDefault="004540A7" w:rsidP="00064BC1">
            <w:pPr>
              <w:spacing w:after="0"/>
              <w:jc w:val="center"/>
              <w:rPr>
                <w:rFonts w:eastAsia="Times New Roman" w:cs="Arial"/>
                <w:color w:val="000000"/>
                <w:sz w:val="18"/>
                <w:szCs w:val="18"/>
                <w:lang w:eastAsia="en-GB"/>
              </w:rPr>
            </w:pPr>
            <w:r w:rsidRPr="002D1C7E">
              <w:rPr>
                <w:rFonts w:eastAsia="Times New Roman" w:cs="Arial"/>
                <w:color w:val="000000"/>
                <w:sz w:val="18"/>
                <w:szCs w:val="18"/>
                <w:lang w:eastAsia="en-GB"/>
              </w:rPr>
              <w:t>1.2.23</w:t>
            </w:r>
          </w:p>
        </w:tc>
      </w:tr>
      <w:tr w:rsidR="004540A7" w:rsidRPr="002D1C7E" w14:paraId="1D486477" w14:textId="77777777" w:rsidTr="00064BC1">
        <w:trPr>
          <w:trHeight w:val="720"/>
        </w:trPr>
        <w:tc>
          <w:tcPr>
            <w:tcW w:w="673" w:type="dxa"/>
            <w:tcBorders>
              <w:top w:val="nil"/>
              <w:left w:val="single" w:sz="4" w:space="0" w:color="auto"/>
              <w:bottom w:val="single" w:sz="4" w:space="0" w:color="auto"/>
              <w:right w:val="single" w:sz="4" w:space="0" w:color="auto"/>
            </w:tcBorders>
            <w:shd w:val="clear" w:color="000000" w:fill="00B0F0"/>
            <w:noWrap/>
            <w:vAlign w:val="center"/>
            <w:hideMark/>
          </w:tcPr>
          <w:p w14:paraId="2F6F714E" w14:textId="77777777" w:rsidR="004540A7" w:rsidRPr="002D1C7E" w:rsidRDefault="004540A7" w:rsidP="00064BC1">
            <w:pPr>
              <w:spacing w:after="0"/>
              <w:jc w:val="center"/>
              <w:rPr>
                <w:rFonts w:eastAsia="Times New Roman" w:cs="Arial"/>
                <w:color w:val="FFFFFF"/>
                <w:sz w:val="18"/>
                <w:szCs w:val="18"/>
                <w:lang w:eastAsia="en-GB"/>
              </w:rPr>
            </w:pPr>
            <w:r w:rsidRPr="002D1C7E">
              <w:rPr>
                <w:rFonts w:eastAsia="Times New Roman" w:cs="Arial"/>
                <w:color w:val="FFFFFF"/>
                <w:sz w:val="18"/>
                <w:szCs w:val="18"/>
                <w:lang w:eastAsia="en-GB"/>
              </w:rPr>
              <w:t>20471</w:t>
            </w:r>
          </w:p>
        </w:tc>
        <w:tc>
          <w:tcPr>
            <w:tcW w:w="1788" w:type="dxa"/>
            <w:tcBorders>
              <w:top w:val="nil"/>
              <w:left w:val="nil"/>
              <w:bottom w:val="single" w:sz="4" w:space="0" w:color="auto"/>
              <w:right w:val="single" w:sz="4" w:space="0" w:color="auto"/>
            </w:tcBorders>
            <w:shd w:val="clear" w:color="000000" w:fill="FF6600"/>
            <w:vAlign w:val="center"/>
            <w:hideMark/>
          </w:tcPr>
          <w:p w14:paraId="615A9021" w14:textId="77777777" w:rsidR="004540A7" w:rsidRPr="002D1C7E" w:rsidRDefault="004540A7" w:rsidP="00064BC1">
            <w:pPr>
              <w:spacing w:after="0"/>
              <w:jc w:val="center"/>
              <w:rPr>
                <w:rFonts w:eastAsia="Times New Roman" w:cs="Arial"/>
                <w:color w:val="000000"/>
                <w:sz w:val="18"/>
                <w:szCs w:val="18"/>
                <w:lang w:eastAsia="en-GB"/>
              </w:rPr>
            </w:pPr>
            <w:r w:rsidRPr="002D1C7E">
              <w:rPr>
                <w:rFonts w:eastAsia="Times New Roman" w:cs="Arial"/>
                <w:color w:val="000000"/>
                <w:sz w:val="18"/>
                <w:szCs w:val="18"/>
                <w:lang w:eastAsia="en-GB"/>
              </w:rPr>
              <w:t>West Middlesex Hospital</w:t>
            </w:r>
          </w:p>
        </w:tc>
        <w:tc>
          <w:tcPr>
            <w:tcW w:w="2440" w:type="dxa"/>
            <w:tcBorders>
              <w:top w:val="nil"/>
              <w:left w:val="nil"/>
              <w:bottom w:val="single" w:sz="4" w:space="0" w:color="auto"/>
              <w:right w:val="single" w:sz="4" w:space="0" w:color="auto"/>
            </w:tcBorders>
            <w:shd w:val="clear" w:color="000000" w:fill="00B0F0"/>
            <w:noWrap/>
            <w:vAlign w:val="center"/>
            <w:hideMark/>
          </w:tcPr>
          <w:p w14:paraId="6A58372D" w14:textId="77777777" w:rsidR="004540A7" w:rsidRPr="002D1C7E" w:rsidRDefault="004540A7" w:rsidP="00064BC1">
            <w:pPr>
              <w:spacing w:after="0"/>
              <w:jc w:val="center"/>
              <w:rPr>
                <w:rFonts w:eastAsia="Times New Roman" w:cs="Arial"/>
                <w:color w:val="000000"/>
                <w:sz w:val="18"/>
                <w:szCs w:val="18"/>
                <w:lang w:eastAsia="en-GB"/>
              </w:rPr>
            </w:pPr>
            <w:r w:rsidRPr="002D1C7E">
              <w:rPr>
                <w:rFonts w:eastAsia="Times New Roman" w:cs="Arial"/>
                <w:color w:val="000000"/>
                <w:sz w:val="18"/>
                <w:szCs w:val="18"/>
                <w:lang w:eastAsia="en-GB"/>
              </w:rPr>
              <w:t>Planned Care</w:t>
            </w:r>
          </w:p>
        </w:tc>
        <w:tc>
          <w:tcPr>
            <w:tcW w:w="2100" w:type="dxa"/>
            <w:tcBorders>
              <w:top w:val="nil"/>
              <w:left w:val="nil"/>
              <w:bottom w:val="single" w:sz="4" w:space="0" w:color="auto"/>
              <w:right w:val="single" w:sz="4" w:space="0" w:color="auto"/>
            </w:tcBorders>
            <w:shd w:val="clear" w:color="000000" w:fill="FDE9D9"/>
            <w:noWrap/>
            <w:vAlign w:val="center"/>
            <w:hideMark/>
          </w:tcPr>
          <w:p w14:paraId="5549967C" w14:textId="77777777" w:rsidR="004540A7" w:rsidRPr="002D1C7E" w:rsidRDefault="004540A7" w:rsidP="00064BC1">
            <w:pPr>
              <w:spacing w:after="0"/>
              <w:jc w:val="center"/>
              <w:rPr>
                <w:rFonts w:eastAsia="Times New Roman" w:cs="Arial"/>
                <w:color w:val="000000"/>
                <w:sz w:val="18"/>
                <w:szCs w:val="18"/>
                <w:lang w:eastAsia="en-GB"/>
              </w:rPr>
            </w:pPr>
            <w:r w:rsidRPr="002D1C7E">
              <w:rPr>
                <w:rFonts w:eastAsia="Times New Roman" w:cs="Arial"/>
                <w:color w:val="000000"/>
                <w:sz w:val="18"/>
                <w:szCs w:val="18"/>
                <w:lang w:eastAsia="en-GB"/>
              </w:rPr>
              <w:t>General Surgery</w:t>
            </w:r>
          </w:p>
        </w:tc>
        <w:tc>
          <w:tcPr>
            <w:tcW w:w="1180" w:type="dxa"/>
            <w:tcBorders>
              <w:top w:val="nil"/>
              <w:left w:val="nil"/>
              <w:bottom w:val="single" w:sz="4" w:space="0" w:color="auto"/>
              <w:right w:val="single" w:sz="4" w:space="0" w:color="auto"/>
            </w:tcBorders>
            <w:shd w:val="clear" w:color="auto" w:fill="auto"/>
            <w:noWrap/>
            <w:vAlign w:val="center"/>
            <w:hideMark/>
          </w:tcPr>
          <w:p w14:paraId="031EE46C" w14:textId="77777777" w:rsidR="004540A7" w:rsidRPr="002D1C7E" w:rsidRDefault="004540A7" w:rsidP="00064BC1">
            <w:pPr>
              <w:spacing w:after="0"/>
              <w:jc w:val="center"/>
              <w:rPr>
                <w:rFonts w:eastAsia="Times New Roman" w:cs="Arial"/>
                <w:color w:val="000000"/>
                <w:sz w:val="18"/>
                <w:szCs w:val="18"/>
                <w:lang w:eastAsia="en-GB"/>
              </w:rPr>
            </w:pPr>
            <w:r w:rsidRPr="002D1C7E">
              <w:rPr>
                <w:rFonts w:eastAsia="Times New Roman" w:cs="Arial"/>
                <w:color w:val="000000"/>
                <w:sz w:val="18"/>
                <w:szCs w:val="18"/>
                <w:lang w:eastAsia="en-GB"/>
              </w:rPr>
              <w:t>21.11.22</w:t>
            </w:r>
          </w:p>
        </w:tc>
        <w:tc>
          <w:tcPr>
            <w:tcW w:w="1131" w:type="dxa"/>
            <w:tcBorders>
              <w:top w:val="nil"/>
              <w:left w:val="nil"/>
              <w:bottom w:val="single" w:sz="4" w:space="0" w:color="auto"/>
              <w:right w:val="single" w:sz="4" w:space="0" w:color="auto"/>
            </w:tcBorders>
            <w:shd w:val="clear" w:color="auto" w:fill="auto"/>
            <w:noWrap/>
            <w:vAlign w:val="center"/>
            <w:hideMark/>
          </w:tcPr>
          <w:p w14:paraId="532DC0C0" w14:textId="77777777" w:rsidR="004540A7" w:rsidRPr="002D1C7E" w:rsidRDefault="004540A7" w:rsidP="00064BC1">
            <w:pPr>
              <w:spacing w:after="0"/>
              <w:jc w:val="center"/>
              <w:rPr>
                <w:rFonts w:eastAsia="Times New Roman" w:cs="Arial"/>
                <w:color w:val="000000"/>
                <w:sz w:val="18"/>
                <w:szCs w:val="18"/>
                <w:lang w:eastAsia="en-GB"/>
              </w:rPr>
            </w:pPr>
            <w:r w:rsidRPr="002D1C7E">
              <w:rPr>
                <w:rFonts w:eastAsia="Times New Roman" w:cs="Arial"/>
                <w:color w:val="000000"/>
                <w:sz w:val="18"/>
                <w:szCs w:val="18"/>
                <w:lang w:eastAsia="en-GB"/>
              </w:rPr>
              <w:t>22.8.23</w:t>
            </w:r>
          </w:p>
        </w:tc>
      </w:tr>
      <w:tr w:rsidR="004540A7" w:rsidRPr="002D1C7E" w14:paraId="405DCC95" w14:textId="77777777" w:rsidTr="00064BC1">
        <w:trPr>
          <w:trHeight w:val="720"/>
        </w:trPr>
        <w:tc>
          <w:tcPr>
            <w:tcW w:w="673" w:type="dxa"/>
            <w:tcBorders>
              <w:top w:val="nil"/>
              <w:left w:val="single" w:sz="4" w:space="0" w:color="auto"/>
              <w:bottom w:val="single" w:sz="4" w:space="0" w:color="auto"/>
              <w:right w:val="single" w:sz="4" w:space="0" w:color="auto"/>
            </w:tcBorders>
            <w:shd w:val="clear" w:color="000000" w:fill="C00000"/>
            <w:noWrap/>
            <w:vAlign w:val="center"/>
            <w:hideMark/>
          </w:tcPr>
          <w:p w14:paraId="7D42E41F" w14:textId="77777777" w:rsidR="004540A7" w:rsidRPr="002D1C7E" w:rsidRDefault="004540A7" w:rsidP="00064BC1">
            <w:pPr>
              <w:spacing w:after="0"/>
              <w:jc w:val="center"/>
              <w:rPr>
                <w:rFonts w:eastAsia="Times New Roman" w:cs="Arial"/>
                <w:color w:val="FFFFFF"/>
                <w:sz w:val="18"/>
                <w:szCs w:val="18"/>
                <w:lang w:eastAsia="en-GB"/>
              </w:rPr>
            </w:pPr>
            <w:r w:rsidRPr="002D1C7E">
              <w:rPr>
                <w:rFonts w:eastAsia="Times New Roman" w:cs="Arial"/>
                <w:color w:val="FFFFFF"/>
                <w:sz w:val="18"/>
                <w:szCs w:val="18"/>
                <w:lang w:eastAsia="en-GB"/>
              </w:rPr>
              <w:t>20443</w:t>
            </w:r>
          </w:p>
        </w:tc>
        <w:tc>
          <w:tcPr>
            <w:tcW w:w="1788" w:type="dxa"/>
            <w:tcBorders>
              <w:top w:val="nil"/>
              <w:left w:val="nil"/>
              <w:bottom w:val="single" w:sz="4" w:space="0" w:color="auto"/>
              <w:right w:val="single" w:sz="4" w:space="0" w:color="auto"/>
            </w:tcBorders>
            <w:shd w:val="clear" w:color="000000" w:fill="0033CC"/>
            <w:vAlign w:val="center"/>
            <w:hideMark/>
          </w:tcPr>
          <w:p w14:paraId="0A3670A0" w14:textId="77777777" w:rsidR="004540A7" w:rsidRPr="002D1C7E" w:rsidRDefault="004540A7" w:rsidP="00064BC1">
            <w:pPr>
              <w:spacing w:after="0"/>
              <w:jc w:val="center"/>
              <w:rPr>
                <w:rFonts w:eastAsia="Times New Roman" w:cs="Arial"/>
                <w:color w:val="000000"/>
                <w:sz w:val="18"/>
                <w:szCs w:val="18"/>
                <w:lang w:eastAsia="en-GB"/>
              </w:rPr>
            </w:pPr>
            <w:r w:rsidRPr="002D1C7E">
              <w:rPr>
                <w:rFonts w:eastAsia="Times New Roman" w:cs="Arial"/>
                <w:color w:val="000000"/>
                <w:sz w:val="18"/>
                <w:szCs w:val="18"/>
                <w:lang w:eastAsia="en-GB"/>
              </w:rPr>
              <w:t>Chelsea and Westminster Hospital</w:t>
            </w:r>
          </w:p>
        </w:tc>
        <w:tc>
          <w:tcPr>
            <w:tcW w:w="2440" w:type="dxa"/>
            <w:tcBorders>
              <w:top w:val="nil"/>
              <w:left w:val="nil"/>
              <w:bottom w:val="single" w:sz="4" w:space="0" w:color="auto"/>
              <w:right w:val="single" w:sz="4" w:space="0" w:color="auto"/>
            </w:tcBorders>
            <w:shd w:val="clear" w:color="000000" w:fill="C00000"/>
            <w:vAlign w:val="center"/>
            <w:hideMark/>
          </w:tcPr>
          <w:p w14:paraId="658B6B3C" w14:textId="77777777" w:rsidR="004540A7" w:rsidRPr="002D1C7E" w:rsidRDefault="004540A7" w:rsidP="00064BC1">
            <w:pPr>
              <w:spacing w:after="0"/>
              <w:jc w:val="center"/>
              <w:rPr>
                <w:rFonts w:eastAsia="Times New Roman" w:cs="Arial"/>
                <w:color w:val="000000"/>
                <w:sz w:val="18"/>
                <w:szCs w:val="18"/>
                <w:lang w:eastAsia="en-GB"/>
              </w:rPr>
            </w:pPr>
            <w:r w:rsidRPr="002D1C7E">
              <w:rPr>
                <w:rFonts w:eastAsia="Times New Roman" w:cs="Arial"/>
                <w:color w:val="000000"/>
                <w:sz w:val="18"/>
                <w:szCs w:val="18"/>
                <w:lang w:eastAsia="en-GB"/>
              </w:rPr>
              <w:t>Emergency and Integrated Care</w:t>
            </w:r>
          </w:p>
        </w:tc>
        <w:tc>
          <w:tcPr>
            <w:tcW w:w="2100" w:type="dxa"/>
            <w:tcBorders>
              <w:top w:val="nil"/>
              <w:left w:val="nil"/>
              <w:bottom w:val="single" w:sz="4" w:space="0" w:color="auto"/>
              <w:right w:val="single" w:sz="4" w:space="0" w:color="auto"/>
            </w:tcBorders>
            <w:shd w:val="clear" w:color="000000" w:fill="FDE9D9"/>
            <w:noWrap/>
            <w:vAlign w:val="center"/>
            <w:hideMark/>
          </w:tcPr>
          <w:p w14:paraId="309DD715" w14:textId="77777777" w:rsidR="004540A7" w:rsidRPr="002D1C7E" w:rsidRDefault="004540A7" w:rsidP="00064BC1">
            <w:pPr>
              <w:spacing w:after="0"/>
              <w:jc w:val="center"/>
              <w:rPr>
                <w:rFonts w:eastAsia="Times New Roman" w:cs="Arial"/>
                <w:color w:val="000000"/>
                <w:sz w:val="18"/>
                <w:szCs w:val="18"/>
                <w:lang w:eastAsia="en-GB"/>
              </w:rPr>
            </w:pPr>
            <w:r w:rsidRPr="002D1C7E">
              <w:rPr>
                <w:rFonts w:eastAsia="Times New Roman" w:cs="Arial"/>
                <w:color w:val="000000"/>
                <w:sz w:val="18"/>
                <w:szCs w:val="18"/>
                <w:lang w:eastAsia="en-GB"/>
              </w:rPr>
              <w:t>Care of the Elderly</w:t>
            </w:r>
          </w:p>
        </w:tc>
        <w:tc>
          <w:tcPr>
            <w:tcW w:w="1180" w:type="dxa"/>
            <w:tcBorders>
              <w:top w:val="nil"/>
              <w:left w:val="nil"/>
              <w:bottom w:val="single" w:sz="4" w:space="0" w:color="auto"/>
              <w:right w:val="single" w:sz="4" w:space="0" w:color="auto"/>
            </w:tcBorders>
            <w:shd w:val="clear" w:color="auto" w:fill="auto"/>
            <w:noWrap/>
            <w:vAlign w:val="center"/>
            <w:hideMark/>
          </w:tcPr>
          <w:p w14:paraId="325104E4" w14:textId="77777777" w:rsidR="004540A7" w:rsidRPr="002D1C7E" w:rsidRDefault="004540A7" w:rsidP="00064BC1">
            <w:pPr>
              <w:spacing w:after="0"/>
              <w:jc w:val="center"/>
              <w:rPr>
                <w:rFonts w:eastAsia="Times New Roman" w:cs="Arial"/>
                <w:color w:val="000000"/>
                <w:sz w:val="18"/>
                <w:szCs w:val="18"/>
                <w:lang w:eastAsia="en-GB"/>
              </w:rPr>
            </w:pPr>
            <w:r w:rsidRPr="002D1C7E">
              <w:rPr>
                <w:rFonts w:eastAsia="Times New Roman" w:cs="Arial"/>
                <w:color w:val="000000"/>
                <w:sz w:val="18"/>
                <w:szCs w:val="18"/>
                <w:lang w:eastAsia="en-GB"/>
              </w:rPr>
              <w:t>2.3.23</w:t>
            </w:r>
          </w:p>
        </w:tc>
        <w:tc>
          <w:tcPr>
            <w:tcW w:w="1131" w:type="dxa"/>
            <w:tcBorders>
              <w:top w:val="nil"/>
              <w:left w:val="nil"/>
              <w:bottom w:val="single" w:sz="4" w:space="0" w:color="auto"/>
              <w:right w:val="single" w:sz="4" w:space="0" w:color="auto"/>
            </w:tcBorders>
            <w:shd w:val="clear" w:color="auto" w:fill="auto"/>
            <w:noWrap/>
            <w:vAlign w:val="center"/>
            <w:hideMark/>
          </w:tcPr>
          <w:p w14:paraId="69356482" w14:textId="77777777" w:rsidR="004540A7" w:rsidRPr="002D1C7E" w:rsidRDefault="004540A7" w:rsidP="00064BC1">
            <w:pPr>
              <w:spacing w:after="0"/>
              <w:jc w:val="center"/>
              <w:rPr>
                <w:rFonts w:eastAsia="Times New Roman" w:cs="Arial"/>
                <w:color w:val="000000"/>
                <w:sz w:val="18"/>
                <w:szCs w:val="18"/>
                <w:lang w:eastAsia="en-GB"/>
              </w:rPr>
            </w:pPr>
            <w:r w:rsidRPr="002D1C7E">
              <w:rPr>
                <w:rFonts w:eastAsia="Times New Roman" w:cs="Arial"/>
                <w:color w:val="000000"/>
                <w:sz w:val="18"/>
                <w:szCs w:val="18"/>
                <w:lang w:eastAsia="en-GB"/>
              </w:rPr>
              <w:t>21.11.23</w:t>
            </w:r>
          </w:p>
        </w:tc>
      </w:tr>
      <w:tr w:rsidR="004540A7" w:rsidRPr="002D1C7E" w14:paraId="4551785A" w14:textId="77777777" w:rsidTr="00064BC1">
        <w:trPr>
          <w:trHeight w:val="480"/>
        </w:trPr>
        <w:tc>
          <w:tcPr>
            <w:tcW w:w="673" w:type="dxa"/>
            <w:tcBorders>
              <w:top w:val="nil"/>
              <w:left w:val="single" w:sz="4" w:space="0" w:color="auto"/>
              <w:bottom w:val="single" w:sz="4" w:space="0" w:color="auto"/>
              <w:right w:val="single" w:sz="4" w:space="0" w:color="auto"/>
            </w:tcBorders>
            <w:shd w:val="clear" w:color="000000" w:fill="00B0F0"/>
            <w:noWrap/>
            <w:vAlign w:val="center"/>
            <w:hideMark/>
          </w:tcPr>
          <w:p w14:paraId="697E458C" w14:textId="77777777" w:rsidR="004540A7" w:rsidRPr="002D1C7E" w:rsidRDefault="004540A7" w:rsidP="00064BC1">
            <w:pPr>
              <w:spacing w:after="0"/>
              <w:jc w:val="center"/>
              <w:rPr>
                <w:rFonts w:eastAsia="Times New Roman" w:cs="Arial"/>
                <w:color w:val="FFFFFF"/>
                <w:sz w:val="18"/>
                <w:szCs w:val="18"/>
                <w:lang w:eastAsia="en-GB"/>
              </w:rPr>
            </w:pPr>
            <w:r w:rsidRPr="002D1C7E">
              <w:rPr>
                <w:rFonts w:eastAsia="Times New Roman" w:cs="Arial"/>
                <w:color w:val="FFFFFF"/>
                <w:sz w:val="18"/>
                <w:szCs w:val="18"/>
                <w:lang w:eastAsia="en-GB"/>
              </w:rPr>
              <w:t>19791</w:t>
            </w:r>
          </w:p>
        </w:tc>
        <w:tc>
          <w:tcPr>
            <w:tcW w:w="1788" w:type="dxa"/>
            <w:tcBorders>
              <w:top w:val="nil"/>
              <w:left w:val="nil"/>
              <w:bottom w:val="single" w:sz="4" w:space="0" w:color="auto"/>
              <w:right w:val="single" w:sz="4" w:space="0" w:color="auto"/>
            </w:tcBorders>
            <w:shd w:val="clear" w:color="000000" w:fill="FF6600"/>
            <w:vAlign w:val="center"/>
            <w:hideMark/>
          </w:tcPr>
          <w:p w14:paraId="2C3EE866" w14:textId="77777777" w:rsidR="004540A7" w:rsidRPr="002D1C7E" w:rsidRDefault="004540A7" w:rsidP="00064BC1">
            <w:pPr>
              <w:spacing w:after="0"/>
              <w:jc w:val="center"/>
              <w:rPr>
                <w:rFonts w:eastAsia="Times New Roman" w:cs="Arial"/>
                <w:color w:val="000000"/>
                <w:sz w:val="18"/>
                <w:szCs w:val="18"/>
                <w:lang w:eastAsia="en-GB"/>
              </w:rPr>
            </w:pPr>
            <w:r w:rsidRPr="002D1C7E">
              <w:rPr>
                <w:rFonts w:eastAsia="Times New Roman" w:cs="Arial"/>
                <w:color w:val="000000"/>
                <w:sz w:val="18"/>
                <w:szCs w:val="18"/>
                <w:lang w:eastAsia="en-GB"/>
              </w:rPr>
              <w:t>West Middlesex Hospital</w:t>
            </w:r>
          </w:p>
        </w:tc>
        <w:tc>
          <w:tcPr>
            <w:tcW w:w="2440" w:type="dxa"/>
            <w:tcBorders>
              <w:top w:val="nil"/>
              <w:left w:val="nil"/>
              <w:bottom w:val="single" w:sz="4" w:space="0" w:color="auto"/>
              <w:right w:val="single" w:sz="4" w:space="0" w:color="auto"/>
            </w:tcBorders>
            <w:shd w:val="clear" w:color="000000" w:fill="00B0F0"/>
            <w:noWrap/>
            <w:vAlign w:val="center"/>
            <w:hideMark/>
          </w:tcPr>
          <w:p w14:paraId="0466510C" w14:textId="77777777" w:rsidR="004540A7" w:rsidRPr="002D1C7E" w:rsidRDefault="004540A7" w:rsidP="00064BC1">
            <w:pPr>
              <w:spacing w:after="0"/>
              <w:jc w:val="center"/>
              <w:rPr>
                <w:rFonts w:eastAsia="Times New Roman" w:cs="Arial"/>
                <w:color w:val="000000"/>
                <w:sz w:val="18"/>
                <w:szCs w:val="18"/>
                <w:lang w:eastAsia="en-GB"/>
              </w:rPr>
            </w:pPr>
            <w:r w:rsidRPr="002D1C7E">
              <w:rPr>
                <w:rFonts w:eastAsia="Times New Roman" w:cs="Arial"/>
                <w:color w:val="000000"/>
                <w:sz w:val="18"/>
                <w:szCs w:val="18"/>
                <w:lang w:eastAsia="en-GB"/>
              </w:rPr>
              <w:t>Planned Care</w:t>
            </w:r>
          </w:p>
        </w:tc>
        <w:tc>
          <w:tcPr>
            <w:tcW w:w="2100" w:type="dxa"/>
            <w:tcBorders>
              <w:top w:val="nil"/>
              <w:left w:val="nil"/>
              <w:bottom w:val="single" w:sz="4" w:space="0" w:color="auto"/>
              <w:right w:val="single" w:sz="4" w:space="0" w:color="auto"/>
            </w:tcBorders>
            <w:shd w:val="clear" w:color="000000" w:fill="FDE9D9"/>
            <w:noWrap/>
            <w:vAlign w:val="center"/>
            <w:hideMark/>
          </w:tcPr>
          <w:p w14:paraId="643FF17B" w14:textId="77777777" w:rsidR="004540A7" w:rsidRPr="002D1C7E" w:rsidRDefault="004540A7" w:rsidP="00064BC1">
            <w:pPr>
              <w:spacing w:after="0"/>
              <w:jc w:val="center"/>
              <w:rPr>
                <w:rFonts w:eastAsia="Times New Roman" w:cs="Arial"/>
                <w:color w:val="000000"/>
                <w:sz w:val="18"/>
                <w:szCs w:val="18"/>
                <w:lang w:eastAsia="en-GB"/>
              </w:rPr>
            </w:pPr>
            <w:r w:rsidRPr="002D1C7E">
              <w:rPr>
                <w:rFonts w:eastAsia="Times New Roman" w:cs="Arial"/>
                <w:color w:val="000000"/>
                <w:sz w:val="18"/>
                <w:szCs w:val="18"/>
                <w:lang w:eastAsia="en-GB"/>
              </w:rPr>
              <w:t>ICU</w:t>
            </w:r>
          </w:p>
        </w:tc>
        <w:tc>
          <w:tcPr>
            <w:tcW w:w="1180" w:type="dxa"/>
            <w:tcBorders>
              <w:top w:val="nil"/>
              <w:left w:val="nil"/>
              <w:bottom w:val="single" w:sz="4" w:space="0" w:color="auto"/>
              <w:right w:val="single" w:sz="4" w:space="0" w:color="auto"/>
            </w:tcBorders>
            <w:shd w:val="clear" w:color="auto" w:fill="auto"/>
            <w:noWrap/>
            <w:vAlign w:val="center"/>
            <w:hideMark/>
          </w:tcPr>
          <w:p w14:paraId="041FD766" w14:textId="77777777" w:rsidR="004540A7" w:rsidRPr="002D1C7E" w:rsidRDefault="004540A7" w:rsidP="00064BC1">
            <w:pPr>
              <w:spacing w:after="0"/>
              <w:jc w:val="center"/>
              <w:rPr>
                <w:rFonts w:eastAsia="Times New Roman" w:cs="Arial"/>
                <w:color w:val="000000"/>
                <w:sz w:val="18"/>
                <w:szCs w:val="18"/>
                <w:lang w:eastAsia="en-GB"/>
              </w:rPr>
            </w:pPr>
            <w:r w:rsidRPr="002D1C7E">
              <w:rPr>
                <w:rFonts w:eastAsia="Times New Roman" w:cs="Arial"/>
                <w:color w:val="000000"/>
                <w:sz w:val="18"/>
                <w:szCs w:val="18"/>
                <w:lang w:eastAsia="en-GB"/>
              </w:rPr>
              <w:t>4.4.23</w:t>
            </w:r>
          </w:p>
        </w:tc>
        <w:tc>
          <w:tcPr>
            <w:tcW w:w="1131" w:type="dxa"/>
            <w:tcBorders>
              <w:top w:val="nil"/>
              <w:left w:val="nil"/>
              <w:bottom w:val="single" w:sz="4" w:space="0" w:color="auto"/>
              <w:right w:val="single" w:sz="4" w:space="0" w:color="auto"/>
            </w:tcBorders>
            <w:shd w:val="clear" w:color="auto" w:fill="auto"/>
            <w:noWrap/>
            <w:vAlign w:val="center"/>
            <w:hideMark/>
          </w:tcPr>
          <w:p w14:paraId="5497241E" w14:textId="77777777" w:rsidR="004540A7" w:rsidRPr="002D1C7E" w:rsidRDefault="004540A7" w:rsidP="00064BC1">
            <w:pPr>
              <w:spacing w:after="0"/>
              <w:jc w:val="center"/>
              <w:rPr>
                <w:rFonts w:eastAsia="Times New Roman" w:cs="Arial"/>
                <w:color w:val="000000"/>
                <w:sz w:val="18"/>
                <w:szCs w:val="18"/>
                <w:lang w:eastAsia="en-GB"/>
              </w:rPr>
            </w:pPr>
            <w:r w:rsidRPr="002D1C7E">
              <w:rPr>
                <w:rFonts w:eastAsia="Times New Roman" w:cs="Arial"/>
                <w:color w:val="000000"/>
                <w:sz w:val="18"/>
                <w:szCs w:val="18"/>
                <w:lang w:eastAsia="en-GB"/>
              </w:rPr>
              <w:t>10.1.24</w:t>
            </w:r>
          </w:p>
        </w:tc>
      </w:tr>
      <w:tr w:rsidR="004540A7" w:rsidRPr="002D1C7E" w14:paraId="43766F32" w14:textId="77777777" w:rsidTr="00064BC1">
        <w:trPr>
          <w:trHeight w:val="720"/>
        </w:trPr>
        <w:tc>
          <w:tcPr>
            <w:tcW w:w="673" w:type="dxa"/>
            <w:tcBorders>
              <w:top w:val="nil"/>
              <w:left w:val="single" w:sz="4" w:space="0" w:color="auto"/>
              <w:bottom w:val="single" w:sz="4" w:space="0" w:color="auto"/>
              <w:right w:val="single" w:sz="4" w:space="0" w:color="auto"/>
            </w:tcBorders>
            <w:shd w:val="clear" w:color="000000" w:fill="C00000"/>
            <w:noWrap/>
            <w:vAlign w:val="center"/>
            <w:hideMark/>
          </w:tcPr>
          <w:p w14:paraId="6182EC49" w14:textId="77777777" w:rsidR="004540A7" w:rsidRPr="002D1C7E" w:rsidRDefault="004540A7" w:rsidP="00064BC1">
            <w:pPr>
              <w:spacing w:after="0"/>
              <w:jc w:val="center"/>
              <w:rPr>
                <w:rFonts w:eastAsia="Times New Roman" w:cs="Arial"/>
                <w:color w:val="FFFFFF"/>
                <w:sz w:val="18"/>
                <w:szCs w:val="18"/>
                <w:lang w:eastAsia="en-GB"/>
              </w:rPr>
            </w:pPr>
            <w:r w:rsidRPr="002D1C7E">
              <w:rPr>
                <w:rFonts w:eastAsia="Times New Roman" w:cs="Arial"/>
                <w:color w:val="FFFFFF"/>
                <w:sz w:val="18"/>
                <w:szCs w:val="18"/>
                <w:lang w:eastAsia="en-GB"/>
              </w:rPr>
              <w:t>19691</w:t>
            </w:r>
          </w:p>
        </w:tc>
        <w:tc>
          <w:tcPr>
            <w:tcW w:w="1788" w:type="dxa"/>
            <w:tcBorders>
              <w:top w:val="nil"/>
              <w:left w:val="nil"/>
              <w:bottom w:val="single" w:sz="4" w:space="0" w:color="auto"/>
              <w:right w:val="single" w:sz="4" w:space="0" w:color="auto"/>
            </w:tcBorders>
            <w:shd w:val="clear" w:color="000000" w:fill="0033CC"/>
            <w:vAlign w:val="center"/>
            <w:hideMark/>
          </w:tcPr>
          <w:p w14:paraId="76AF9351" w14:textId="77777777" w:rsidR="004540A7" w:rsidRPr="002D1C7E" w:rsidRDefault="004540A7" w:rsidP="00064BC1">
            <w:pPr>
              <w:spacing w:after="0"/>
              <w:jc w:val="center"/>
              <w:rPr>
                <w:rFonts w:eastAsia="Times New Roman" w:cs="Arial"/>
                <w:color w:val="000000"/>
                <w:sz w:val="18"/>
                <w:szCs w:val="18"/>
                <w:lang w:eastAsia="en-GB"/>
              </w:rPr>
            </w:pPr>
            <w:r w:rsidRPr="002D1C7E">
              <w:rPr>
                <w:rFonts w:eastAsia="Times New Roman" w:cs="Arial"/>
                <w:color w:val="000000"/>
                <w:sz w:val="18"/>
                <w:szCs w:val="18"/>
                <w:lang w:eastAsia="en-GB"/>
              </w:rPr>
              <w:t>Chelsea and Westminster Hospital</w:t>
            </w:r>
          </w:p>
        </w:tc>
        <w:tc>
          <w:tcPr>
            <w:tcW w:w="2440" w:type="dxa"/>
            <w:tcBorders>
              <w:top w:val="nil"/>
              <w:left w:val="nil"/>
              <w:bottom w:val="single" w:sz="4" w:space="0" w:color="auto"/>
              <w:right w:val="single" w:sz="4" w:space="0" w:color="auto"/>
            </w:tcBorders>
            <w:shd w:val="clear" w:color="000000" w:fill="C00000"/>
            <w:vAlign w:val="center"/>
            <w:hideMark/>
          </w:tcPr>
          <w:p w14:paraId="48B392B8" w14:textId="77777777" w:rsidR="004540A7" w:rsidRPr="002D1C7E" w:rsidRDefault="004540A7" w:rsidP="00064BC1">
            <w:pPr>
              <w:spacing w:after="0"/>
              <w:jc w:val="center"/>
              <w:rPr>
                <w:rFonts w:eastAsia="Times New Roman" w:cs="Arial"/>
                <w:color w:val="000000"/>
                <w:sz w:val="18"/>
                <w:szCs w:val="18"/>
                <w:lang w:eastAsia="en-GB"/>
              </w:rPr>
            </w:pPr>
            <w:r w:rsidRPr="002D1C7E">
              <w:rPr>
                <w:rFonts w:eastAsia="Times New Roman" w:cs="Arial"/>
                <w:color w:val="000000"/>
                <w:sz w:val="18"/>
                <w:szCs w:val="18"/>
                <w:lang w:eastAsia="en-GB"/>
              </w:rPr>
              <w:t>Emergency and Integrated Care</w:t>
            </w:r>
          </w:p>
        </w:tc>
        <w:tc>
          <w:tcPr>
            <w:tcW w:w="2100" w:type="dxa"/>
            <w:tcBorders>
              <w:top w:val="nil"/>
              <w:left w:val="nil"/>
              <w:bottom w:val="single" w:sz="4" w:space="0" w:color="auto"/>
              <w:right w:val="single" w:sz="4" w:space="0" w:color="auto"/>
            </w:tcBorders>
            <w:shd w:val="clear" w:color="000000" w:fill="FDE9D9"/>
            <w:noWrap/>
            <w:vAlign w:val="center"/>
            <w:hideMark/>
          </w:tcPr>
          <w:p w14:paraId="2C108645" w14:textId="77777777" w:rsidR="004540A7" w:rsidRPr="002D1C7E" w:rsidRDefault="004540A7" w:rsidP="00064BC1">
            <w:pPr>
              <w:spacing w:after="0"/>
              <w:jc w:val="center"/>
              <w:rPr>
                <w:rFonts w:eastAsia="Times New Roman" w:cs="Arial"/>
                <w:color w:val="000000"/>
                <w:sz w:val="18"/>
                <w:szCs w:val="18"/>
                <w:lang w:eastAsia="en-GB"/>
              </w:rPr>
            </w:pPr>
            <w:r w:rsidRPr="002D1C7E">
              <w:rPr>
                <w:rFonts w:eastAsia="Times New Roman" w:cs="Arial"/>
                <w:color w:val="000000"/>
                <w:sz w:val="18"/>
                <w:szCs w:val="18"/>
                <w:lang w:eastAsia="en-GB"/>
              </w:rPr>
              <w:t>Care of the Elderly</w:t>
            </w:r>
          </w:p>
        </w:tc>
        <w:tc>
          <w:tcPr>
            <w:tcW w:w="1180" w:type="dxa"/>
            <w:tcBorders>
              <w:top w:val="nil"/>
              <w:left w:val="nil"/>
              <w:bottom w:val="single" w:sz="4" w:space="0" w:color="auto"/>
              <w:right w:val="single" w:sz="4" w:space="0" w:color="auto"/>
            </w:tcBorders>
            <w:shd w:val="clear" w:color="auto" w:fill="auto"/>
            <w:noWrap/>
            <w:vAlign w:val="center"/>
            <w:hideMark/>
          </w:tcPr>
          <w:p w14:paraId="10FBCE59" w14:textId="77777777" w:rsidR="004540A7" w:rsidRPr="002D1C7E" w:rsidRDefault="004540A7" w:rsidP="00064BC1">
            <w:pPr>
              <w:spacing w:after="0"/>
              <w:jc w:val="center"/>
              <w:rPr>
                <w:rFonts w:eastAsia="Times New Roman" w:cs="Arial"/>
                <w:color w:val="000000"/>
                <w:sz w:val="18"/>
                <w:szCs w:val="18"/>
                <w:lang w:eastAsia="en-GB"/>
              </w:rPr>
            </w:pPr>
            <w:r w:rsidRPr="002D1C7E">
              <w:rPr>
                <w:rFonts w:eastAsia="Times New Roman" w:cs="Arial"/>
                <w:color w:val="000000"/>
                <w:sz w:val="18"/>
                <w:szCs w:val="18"/>
                <w:lang w:eastAsia="en-GB"/>
              </w:rPr>
              <w:t>6.1.23</w:t>
            </w:r>
          </w:p>
        </w:tc>
        <w:tc>
          <w:tcPr>
            <w:tcW w:w="1131" w:type="dxa"/>
            <w:tcBorders>
              <w:top w:val="nil"/>
              <w:left w:val="nil"/>
              <w:bottom w:val="single" w:sz="4" w:space="0" w:color="auto"/>
              <w:right w:val="single" w:sz="4" w:space="0" w:color="auto"/>
            </w:tcBorders>
            <w:shd w:val="clear" w:color="auto" w:fill="auto"/>
            <w:noWrap/>
            <w:vAlign w:val="center"/>
            <w:hideMark/>
          </w:tcPr>
          <w:p w14:paraId="2727F889" w14:textId="77777777" w:rsidR="004540A7" w:rsidRPr="002D1C7E" w:rsidRDefault="004540A7" w:rsidP="00064BC1">
            <w:pPr>
              <w:spacing w:after="0"/>
              <w:jc w:val="center"/>
              <w:rPr>
                <w:rFonts w:eastAsia="Times New Roman" w:cs="Arial"/>
                <w:color w:val="000000"/>
                <w:sz w:val="18"/>
                <w:szCs w:val="18"/>
                <w:lang w:eastAsia="en-GB"/>
              </w:rPr>
            </w:pPr>
            <w:r w:rsidRPr="002D1C7E">
              <w:rPr>
                <w:rFonts w:eastAsia="Times New Roman" w:cs="Arial"/>
                <w:color w:val="000000"/>
                <w:sz w:val="18"/>
                <w:szCs w:val="18"/>
                <w:lang w:eastAsia="en-GB"/>
              </w:rPr>
              <w:t>19.1.24</w:t>
            </w:r>
          </w:p>
        </w:tc>
      </w:tr>
      <w:tr w:rsidR="004540A7" w:rsidRPr="002D1C7E" w14:paraId="7AAC66E3" w14:textId="77777777" w:rsidTr="00064BC1">
        <w:trPr>
          <w:trHeight w:val="480"/>
        </w:trPr>
        <w:tc>
          <w:tcPr>
            <w:tcW w:w="673" w:type="dxa"/>
            <w:tcBorders>
              <w:top w:val="nil"/>
              <w:left w:val="single" w:sz="4" w:space="0" w:color="auto"/>
              <w:bottom w:val="single" w:sz="4" w:space="0" w:color="auto"/>
              <w:right w:val="single" w:sz="4" w:space="0" w:color="auto"/>
            </w:tcBorders>
            <w:shd w:val="clear" w:color="000000" w:fill="00B0F0"/>
            <w:noWrap/>
            <w:vAlign w:val="center"/>
            <w:hideMark/>
          </w:tcPr>
          <w:p w14:paraId="31949952" w14:textId="77777777" w:rsidR="004540A7" w:rsidRPr="002D1C7E" w:rsidRDefault="004540A7" w:rsidP="00064BC1">
            <w:pPr>
              <w:spacing w:after="0"/>
              <w:jc w:val="center"/>
              <w:rPr>
                <w:rFonts w:eastAsia="Times New Roman" w:cs="Arial"/>
                <w:color w:val="FFFFFF"/>
                <w:sz w:val="18"/>
                <w:szCs w:val="18"/>
                <w:lang w:eastAsia="en-GB"/>
              </w:rPr>
            </w:pPr>
            <w:r w:rsidRPr="002D1C7E">
              <w:rPr>
                <w:rFonts w:eastAsia="Times New Roman" w:cs="Arial"/>
                <w:color w:val="FFFFFF"/>
                <w:sz w:val="18"/>
                <w:szCs w:val="18"/>
                <w:lang w:eastAsia="en-GB"/>
              </w:rPr>
              <w:t>18362</w:t>
            </w:r>
          </w:p>
        </w:tc>
        <w:tc>
          <w:tcPr>
            <w:tcW w:w="1788" w:type="dxa"/>
            <w:tcBorders>
              <w:top w:val="nil"/>
              <w:left w:val="nil"/>
              <w:bottom w:val="single" w:sz="4" w:space="0" w:color="auto"/>
              <w:right w:val="single" w:sz="4" w:space="0" w:color="auto"/>
            </w:tcBorders>
            <w:shd w:val="clear" w:color="000000" w:fill="FF6600"/>
            <w:vAlign w:val="center"/>
            <w:hideMark/>
          </w:tcPr>
          <w:p w14:paraId="2CCAB58F" w14:textId="77777777" w:rsidR="004540A7" w:rsidRPr="002D1C7E" w:rsidRDefault="004540A7" w:rsidP="00064BC1">
            <w:pPr>
              <w:spacing w:after="0"/>
              <w:jc w:val="center"/>
              <w:rPr>
                <w:rFonts w:eastAsia="Times New Roman" w:cs="Arial"/>
                <w:color w:val="000000"/>
                <w:sz w:val="18"/>
                <w:szCs w:val="18"/>
                <w:lang w:eastAsia="en-GB"/>
              </w:rPr>
            </w:pPr>
            <w:r w:rsidRPr="002D1C7E">
              <w:rPr>
                <w:rFonts w:eastAsia="Times New Roman" w:cs="Arial"/>
                <w:color w:val="000000"/>
                <w:sz w:val="18"/>
                <w:szCs w:val="18"/>
                <w:lang w:eastAsia="en-GB"/>
              </w:rPr>
              <w:t>West Middlesex Hospital</w:t>
            </w:r>
          </w:p>
        </w:tc>
        <w:tc>
          <w:tcPr>
            <w:tcW w:w="2440" w:type="dxa"/>
            <w:tcBorders>
              <w:top w:val="nil"/>
              <w:left w:val="nil"/>
              <w:bottom w:val="single" w:sz="4" w:space="0" w:color="auto"/>
              <w:right w:val="single" w:sz="4" w:space="0" w:color="auto"/>
            </w:tcBorders>
            <w:shd w:val="clear" w:color="000000" w:fill="00B0F0"/>
            <w:noWrap/>
            <w:vAlign w:val="center"/>
            <w:hideMark/>
          </w:tcPr>
          <w:p w14:paraId="77A3EF76" w14:textId="77777777" w:rsidR="004540A7" w:rsidRPr="002D1C7E" w:rsidRDefault="004540A7" w:rsidP="00064BC1">
            <w:pPr>
              <w:spacing w:after="0"/>
              <w:jc w:val="center"/>
              <w:rPr>
                <w:rFonts w:eastAsia="Times New Roman" w:cs="Arial"/>
                <w:color w:val="000000"/>
                <w:sz w:val="18"/>
                <w:szCs w:val="18"/>
                <w:lang w:eastAsia="en-GB"/>
              </w:rPr>
            </w:pPr>
            <w:r w:rsidRPr="002D1C7E">
              <w:rPr>
                <w:rFonts w:eastAsia="Times New Roman" w:cs="Arial"/>
                <w:color w:val="000000"/>
                <w:sz w:val="18"/>
                <w:szCs w:val="18"/>
                <w:lang w:eastAsia="en-GB"/>
              </w:rPr>
              <w:t>Planned Care</w:t>
            </w:r>
          </w:p>
        </w:tc>
        <w:tc>
          <w:tcPr>
            <w:tcW w:w="2100" w:type="dxa"/>
            <w:tcBorders>
              <w:top w:val="nil"/>
              <w:left w:val="nil"/>
              <w:bottom w:val="single" w:sz="4" w:space="0" w:color="auto"/>
              <w:right w:val="single" w:sz="4" w:space="0" w:color="auto"/>
            </w:tcBorders>
            <w:shd w:val="clear" w:color="000000" w:fill="FDE9D9"/>
            <w:noWrap/>
            <w:vAlign w:val="center"/>
            <w:hideMark/>
          </w:tcPr>
          <w:p w14:paraId="67266AC4" w14:textId="77777777" w:rsidR="004540A7" w:rsidRPr="002D1C7E" w:rsidRDefault="004540A7" w:rsidP="00064BC1">
            <w:pPr>
              <w:spacing w:after="0"/>
              <w:jc w:val="center"/>
              <w:rPr>
                <w:rFonts w:eastAsia="Times New Roman" w:cs="Arial"/>
                <w:color w:val="000000"/>
                <w:sz w:val="18"/>
                <w:szCs w:val="18"/>
                <w:lang w:eastAsia="en-GB"/>
              </w:rPr>
            </w:pPr>
            <w:r w:rsidRPr="002D1C7E">
              <w:rPr>
                <w:rFonts w:eastAsia="Times New Roman" w:cs="Arial"/>
                <w:color w:val="000000"/>
                <w:sz w:val="18"/>
                <w:szCs w:val="18"/>
                <w:lang w:eastAsia="en-GB"/>
              </w:rPr>
              <w:t>Anaesthetics</w:t>
            </w:r>
          </w:p>
        </w:tc>
        <w:tc>
          <w:tcPr>
            <w:tcW w:w="1180" w:type="dxa"/>
            <w:tcBorders>
              <w:top w:val="nil"/>
              <w:left w:val="nil"/>
              <w:bottom w:val="single" w:sz="4" w:space="0" w:color="auto"/>
              <w:right w:val="single" w:sz="4" w:space="0" w:color="auto"/>
            </w:tcBorders>
            <w:shd w:val="clear" w:color="auto" w:fill="auto"/>
            <w:noWrap/>
            <w:vAlign w:val="center"/>
            <w:hideMark/>
          </w:tcPr>
          <w:p w14:paraId="47DAC66E" w14:textId="3A7C9CAA" w:rsidR="004540A7" w:rsidRPr="002D1C7E" w:rsidRDefault="0082070B" w:rsidP="00064BC1">
            <w:pPr>
              <w:spacing w:after="0"/>
              <w:jc w:val="center"/>
              <w:rPr>
                <w:rFonts w:eastAsia="Times New Roman" w:cs="Arial"/>
                <w:color w:val="000000"/>
                <w:sz w:val="18"/>
                <w:szCs w:val="18"/>
                <w:lang w:eastAsia="en-GB"/>
              </w:rPr>
            </w:pPr>
            <w:r>
              <w:rPr>
                <w:rFonts w:eastAsia="Times New Roman" w:cs="Arial"/>
                <w:color w:val="000000"/>
                <w:sz w:val="18"/>
                <w:szCs w:val="18"/>
                <w:lang w:eastAsia="en-GB"/>
              </w:rPr>
              <w:t>14.</w:t>
            </w:r>
            <w:r w:rsidR="004540A7" w:rsidRPr="002D1C7E">
              <w:rPr>
                <w:rFonts w:eastAsia="Times New Roman" w:cs="Arial"/>
                <w:color w:val="000000"/>
                <w:sz w:val="18"/>
                <w:szCs w:val="18"/>
                <w:lang w:eastAsia="en-GB"/>
              </w:rPr>
              <w:t>3.22</w:t>
            </w:r>
          </w:p>
        </w:tc>
        <w:tc>
          <w:tcPr>
            <w:tcW w:w="1131" w:type="dxa"/>
            <w:tcBorders>
              <w:top w:val="nil"/>
              <w:left w:val="nil"/>
              <w:bottom w:val="single" w:sz="4" w:space="0" w:color="auto"/>
              <w:right w:val="single" w:sz="4" w:space="0" w:color="auto"/>
            </w:tcBorders>
            <w:shd w:val="clear" w:color="auto" w:fill="auto"/>
            <w:noWrap/>
            <w:vAlign w:val="center"/>
            <w:hideMark/>
          </w:tcPr>
          <w:p w14:paraId="2EFB5303" w14:textId="77777777" w:rsidR="004540A7" w:rsidRPr="002D1C7E" w:rsidRDefault="004540A7" w:rsidP="00064BC1">
            <w:pPr>
              <w:spacing w:after="0"/>
              <w:jc w:val="center"/>
              <w:rPr>
                <w:rFonts w:eastAsia="Times New Roman" w:cs="Arial"/>
                <w:color w:val="000000"/>
                <w:sz w:val="18"/>
                <w:szCs w:val="18"/>
                <w:lang w:eastAsia="en-GB"/>
              </w:rPr>
            </w:pPr>
            <w:r w:rsidRPr="002D1C7E">
              <w:rPr>
                <w:rFonts w:eastAsia="Times New Roman" w:cs="Arial"/>
                <w:color w:val="000000"/>
                <w:sz w:val="18"/>
                <w:szCs w:val="18"/>
                <w:lang w:eastAsia="en-GB"/>
              </w:rPr>
              <w:t>12.3.24</w:t>
            </w:r>
          </w:p>
        </w:tc>
      </w:tr>
      <w:tr w:rsidR="004540A7" w:rsidRPr="002D1C7E" w14:paraId="207DE313" w14:textId="77777777" w:rsidTr="00064BC1">
        <w:trPr>
          <w:trHeight w:val="480"/>
        </w:trPr>
        <w:tc>
          <w:tcPr>
            <w:tcW w:w="673" w:type="dxa"/>
            <w:tcBorders>
              <w:top w:val="nil"/>
              <w:left w:val="single" w:sz="4" w:space="0" w:color="auto"/>
              <w:bottom w:val="single" w:sz="4" w:space="0" w:color="auto"/>
              <w:right w:val="single" w:sz="4" w:space="0" w:color="auto"/>
            </w:tcBorders>
            <w:shd w:val="clear" w:color="000000" w:fill="C00000"/>
            <w:noWrap/>
            <w:vAlign w:val="center"/>
            <w:hideMark/>
          </w:tcPr>
          <w:p w14:paraId="42F419A3" w14:textId="77777777" w:rsidR="004540A7" w:rsidRPr="002D1C7E" w:rsidRDefault="004540A7" w:rsidP="00064BC1">
            <w:pPr>
              <w:spacing w:after="0"/>
              <w:jc w:val="center"/>
              <w:rPr>
                <w:rFonts w:eastAsia="Times New Roman" w:cs="Arial"/>
                <w:color w:val="FFFFFF"/>
                <w:sz w:val="18"/>
                <w:szCs w:val="18"/>
                <w:lang w:eastAsia="en-GB"/>
              </w:rPr>
            </w:pPr>
            <w:r w:rsidRPr="002D1C7E">
              <w:rPr>
                <w:rFonts w:eastAsia="Times New Roman" w:cs="Arial"/>
                <w:color w:val="FFFFFF"/>
                <w:sz w:val="18"/>
                <w:szCs w:val="18"/>
                <w:lang w:eastAsia="en-GB"/>
              </w:rPr>
              <w:t>20997</w:t>
            </w:r>
          </w:p>
        </w:tc>
        <w:tc>
          <w:tcPr>
            <w:tcW w:w="1788" w:type="dxa"/>
            <w:tcBorders>
              <w:top w:val="nil"/>
              <w:left w:val="nil"/>
              <w:bottom w:val="single" w:sz="4" w:space="0" w:color="auto"/>
              <w:right w:val="single" w:sz="4" w:space="0" w:color="auto"/>
            </w:tcBorders>
            <w:shd w:val="clear" w:color="000000" w:fill="FF6600"/>
            <w:vAlign w:val="center"/>
            <w:hideMark/>
          </w:tcPr>
          <w:p w14:paraId="29884FC4" w14:textId="77777777" w:rsidR="004540A7" w:rsidRPr="002D1C7E" w:rsidRDefault="004540A7" w:rsidP="00064BC1">
            <w:pPr>
              <w:spacing w:after="0"/>
              <w:jc w:val="center"/>
              <w:rPr>
                <w:rFonts w:eastAsia="Times New Roman" w:cs="Arial"/>
                <w:color w:val="000000"/>
                <w:sz w:val="18"/>
                <w:szCs w:val="18"/>
                <w:lang w:eastAsia="en-GB"/>
              </w:rPr>
            </w:pPr>
            <w:r w:rsidRPr="002D1C7E">
              <w:rPr>
                <w:rFonts w:eastAsia="Times New Roman" w:cs="Arial"/>
                <w:color w:val="000000"/>
                <w:sz w:val="18"/>
                <w:szCs w:val="18"/>
                <w:lang w:eastAsia="en-GB"/>
              </w:rPr>
              <w:t>West Middlesex Hospital</w:t>
            </w:r>
          </w:p>
        </w:tc>
        <w:tc>
          <w:tcPr>
            <w:tcW w:w="2440" w:type="dxa"/>
            <w:tcBorders>
              <w:top w:val="nil"/>
              <w:left w:val="nil"/>
              <w:bottom w:val="single" w:sz="4" w:space="0" w:color="auto"/>
              <w:right w:val="single" w:sz="4" w:space="0" w:color="auto"/>
            </w:tcBorders>
            <w:shd w:val="clear" w:color="000000" w:fill="C00000"/>
            <w:vAlign w:val="center"/>
            <w:hideMark/>
          </w:tcPr>
          <w:p w14:paraId="6D68EBF7" w14:textId="77777777" w:rsidR="004540A7" w:rsidRPr="002D1C7E" w:rsidRDefault="004540A7" w:rsidP="00064BC1">
            <w:pPr>
              <w:spacing w:after="0"/>
              <w:jc w:val="center"/>
              <w:rPr>
                <w:rFonts w:eastAsia="Times New Roman" w:cs="Arial"/>
                <w:color w:val="000000"/>
                <w:sz w:val="18"/>
                <w:szCs w:val="18"/>
                <w:lang w:eastAsia="en-GB"/>
              </w:rPr>
            </w:pPr>
            <w:r w:rsidRPr="002D1C7E">
              <w:rPr>
                <w:rFonts w:eastAsia="Times New Roman" w:cs="Arial"/>
                <w:color w:val="000000"/>
                <w:sz w:val="18"/>
                <w:szCs w:val="18"/>
                <w:lang w:eastAsia="en-GB"/>
              </w:rPr>
              <w:t>Emergency and Integrated Care</w:t>
            </w:r>
          </w:p>
        </w:tc>
        <w:tc>
          <w:tcPr>
            <w:tcW w:w="2100" w:type="dxa"/>
            <w:tcBorders>
              <w:top w:val="nil"/>
              <w:left w:val="nil"/>
              <w:bottom w:val="single" w:sz="4" w:space="0" w:color="auto"/>
              <w:right w:val="single" w:sz="4" w:space="0" w:color="auto"/>
            </w:tcBorders>
            <w:shd w:val="clear" w:color="000000" w:fill="FDE9D9"/>
            <w:noWrap/>
            <w:vAlign w:val="center"/>
            <w:hideMark/>
          </w:tcPr>
          <w:p w14:paraId="6D3153CB" w14:textId="77777777" w:rsidR="004540A7" w:rsidRPr="002D1C7E" w:rsidRDefault="004540A7" w:rsidP="00064BC1">
            <w:pPr>
              <w:spacing w:after="0"/>
              <w:jc w:val="center"/>
              <w:rPr>
                <w:rFonts w:eastAsia="Times New Roman" w:cs="Arial"/>
                <w:color w:val="000000"/>
                <w:sz w:val="18"/>
                <w:szCs w:val="18"/>
                <w:lang w:eastAsia="en-GB"/>
              </w:rPr>
            </w:pPr>
            <w:r w:rsidRPr="002D1C7E">
              <w:rPr>
                <w:rFonts w:eastAsia="Times New Roman" w:cs="Arial"/>
                <w:color w:val="000000"/>
                <w:sz w:val="18"/>
                <w:szCs w:val="18"/>
                <w:lang w:eastAsia="en-GB"/>
              </w:rPr>
              <w:t>Acute Medicine</w:t>
            </w:r>
          </w:p>
        </w:tc>
        <w:tc>
          <w:tcPr>
            <w:tcW w:w="1180" w:type="dxa"/>
            <w:tcBorders>
              <w:top w:val="nil"/>
              <w:left w:val="nil"/>
              <w:bottom w:val="single" w:sz="4" w:space="0" w:color="auto"/>
              <w:right w:val="single" w:sz="4" w:space="0" w:color="auto"/>
            </w:tcBorders>
            <w:shd w:val="clear" w:color="auto" w:fill="auto"/>
            <w:noWrap/>
            <w:vAlign w:val="center"/>
            <w:hideMark/>
          </w:tcPr>
          <w:p w14:paraId="186896B3" w14:textId="77777777" w:rsidR="004540A7" w:rsidRPr="002D1C7E" w:rsidRDefault="004540A7" w:rsidP="00064BC1">
            <w:pPr>
              <w:spacing w:after="0"/>
              <w:jc w:val="center"/>
              <w:rPr>
                <w:rFonts w:eastAsia="Times New Roman" w:cs="Arial"/>
                <w:color w:val="000000"/>
                <w:sz w:val="18"/>
                <w:szCs w:val="18"/>
                <w:lang w:eastAsia="en-GB"/>
              </w:rPr>
            </w:pPr>
            <w:r w:rsidRPr="002D1C7E">
              <w:rPr>
                <w:rFonts w:eastAsia="Times New Roman" w:cs="Arial"/>
                <w:color w:val="000000"/>
                <w:sz w:val="18"/>
                <w:szCs w:val="18"/>
                <w:lang w:eastAsia="en-GB"/>
              </w:rPr>
              <w:t>9.1.23</w:t>
            </w:r>
          </w:p>
        </w:tc>
        <w:tc>
          <w:tcPr>
            <w:tcW w:w="1131" w:type="dxa"/>
            <w:tcBorders>
              <w:top w:val="nil"/>
              <w:left w:val="nil"/>
              <w:bottom w:val="single" w:sz="4" w:space="0" w:color="auto"/>
              <w:right w:val="single" w:sz="4" w:space="0" w:color="auto"/>
            </w:tcBorders>
            <w:shd w:val="clear" w:color="auto" w:fill="auto"/>
            <w:noWrap/>
            <w:vAlign w:val="center"/>
            <w:hideMark/>
          </w:tcPr>
          <w:p w14:paraId="7F69FF8E" w14:textId="77777777" w:rsidR="004540A7" w:rsidRPr="002D1C7E" w:rsidRDefault="004540A7" w:rsidP="00064BC1">
            <w:pPr>
              <w:spacing w:after="0"/>
              <w:jc w:val="center"/>
              <w:rPr>
                <w:rFonts w:eastAsia="Times New Roman" w:cs="Arial"/>
                <w:color w:val="000000"/>
                <w:sz w:val="18"/>
                <w:szCs w:val="18"/>
                <w:lang w:eastAsia="en-GB"/>
              </w:rPr>
            </w:pPr>
            <w:r w:rsidRPr="002D1C7E">
              <w:rPr>
                <w:rFonts w:eastAsia="Times New Roman" w:cs="Arial"/>
                <w:color w:val="000000"/>
                <w:sz w:val="18"/>
                <w:szCs w:val="18"/>
                <w:lang w:eastAsia="en-GB"/>
              </w:rPr>
              <w:t>19.3.24</w:t>
            </w:r>
          </w:p>
        </w:tc>
      </w:tr>
    </w:tbl>
    <w:p w14:paraId="187D0661" w14:textId="77777777" w:rsidR="004540A7" w:rsidRPr="002D1C7E" w:rsidRDefault="004540A7" w:rsidP="004540A7">
      <w:pPr>
        <w:spacing w:after="0"/>
        <w:rPr>
          <w:rFonts w:cs="Arial"/>
        </w:rPr>
      </w:pPr>
    </w:p>
    <w:p w14:paraId="0F6A6CBE" w14:textId="633940E2" w:rsidR="004540A7" w:rsidRPr="00E46AB2" w:rsidRDefault="0082070B" w:rsidP="004540A7">
      <w:pPr>
        <w:spacing w:after="0"/>
        <w:rPr>
          <w:rFonts w:cs="Arial"/>
          <w:sz w:val="22"/>
        </w:rPr>
      </w:pPr>
      <w:r>
        <w:rPr>
          <w:rFonts w:cs="Arial"/>
          <w:sz w:val="22"/>
        </w:rPr>
        <w:t xml:space="preserve">The PHSO did not </w:t>
      </w:r>
      <w:r w:rsidR="00F64AEE">
        <w:rPr>
          <w:rFonts w:cs="Arial"/>
          <w:sz w:val="22"/>
        </w:rPr>
        <w:t xml:space="preserve">conclude any investigations between </w:t>
      </w:r>
      <w:r w:rsidR="004540A7" w:rsidRPr="00E46AB2">
        <w:rPr>
          <w:rFonts w:cs="Arial"/>
          <w:sz w:val="22"/>
        </w:rPr>
        <w:t>April 2023</w:t>
      </w:r>
      <w:r w:rsidR="00F64AEE">
        <w:rPr>
          <w:rFonts w:cs="Arial"/>
          <w:sz w:val="22"/>
        </w:rPr>
        <w:t xml:space="preserve"> and </w:t>
      </w:r>
      <w:r w:rsidR="004540A7" w:rsidRPr="00E46AB2">
        <w:rPr>
          <w:rFonts w:cs="Arial"/>
          <w:sz w:val="22"/>
        </w:rPr>
        <w:t>March 2024.</w:t>
      </w:r>
    </w:p>
    <w:p w14:paraId="00DA5CAA" w14:textId="536F8619" w:rsidR="004540A7" w:rsidRDefault="004540A7" w:rsidP="004540A7">
      <w:pPr>
        <w:spacing w:after="0"/>
        <w:rPr>
          <w:rFonts w:cs="Arial"/>
          <w:sz w:val="22"/>
        </w:rPr>
      </w:pPr>
    </w:p>
    <w:p w14:paraId="54219C9B" w14:textId="08C0A4ED" w:rsidR="004540A7" w:rsidRPr="00E46AB2" w:rsidRDefault="004540A7" w:rsidP="004540A7">
      <w:pPr>
        <w:spacing w:after="0"/>
        <w:rPr>
          <w:rFonts w:cs="Arial"/>
          <w:b/>
          <w:sz w:val="22"/>
        </w:rPr>
      </w:pPr>
      <w:r w:rsidRPr="00E46AB2">
        <w:rPr>
          <w:rFonts w:cs="Arial"/>
          <w:b/>
          <w:sz w:val="22"/>
        </w:rPr>
        <w:t xml:space="preserve">Actions and learning from complaints </w:t>
      </w:r>
    </w:p>
    <w:p w14:paraId="2881BEA7" w14:textId="77777777" w:rsidR="004540A7" w:rsidRPr="00E46AB2" w:rsidRDefault="004540A7" w:rsidP="004540A7">
      <w:pPr>
        <w:spacing w:after="0"/>
        <w:rPr>
          <w:rFonts w:cs="Arial"/>
          <w:b/>
          <w:sz w:val="22"/>
        </w:rPr>
      </w:pPr>
    </w:p>
    <w:p w14:paraId="147BD188" w14:textId="77777777" w:rsidR="004540A7" w:rsidRPr="00E46AB2" w:rsidRDefault="004540A7" w:rsidP="004540A7">
      <w:pPr>
        <w:spacing w:after="0"/>
        <w:rPr>
          <w:rFonts w:cs="Arial"/>
          <w:sz w:val="22"/>
        </w:rPr>
      </w:pPr>
      <w:r w:rsidRPr="00E46AB2">
        <w:rPr>
          <w:rFonts w:cs="Arial"/>
          <w:sz w:val="22"/>
        </w:rPr>
        <w:t>Examples of actions and learning from the most complained about subjects are reported to the Quality Committee each quarter, here are some examples:</w:t>
      </w:r>
    </w:p>
    <w:p w14:paraId="6D21FF1B" w14:textId="77777777" w:rsidR="004540A7" w:rsidRPr="002D1C7E" w:rsidRDefault="004540A7" w:rsidP="004540A7">
      <w:pPr>
        <w:spacing w:after="0"/>
        <w:rPr>
          <w:rFonts w:cs="Arial"/>
          <w:b/>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3260"/>
        <w:gridCol w:w="5103"/>
      </w:tblGrid>
      <w:tr w:rsidR="004540A7" w:rsidRPr="00D74129" w14:paraId="3E210F72" w14:textId="77777777" w:rsidTr="00D74129">
        <w:tc>
          <w:tcPr>
            <w:tcW w:w="1838" w:type="dxa"/>
            <w:shd w:val="clear" w:color="auto" w:fill="002060"/>
          </w:tcPr>
          <w:p w14:paraId="4C44B18F" w14:textId="77777777" w:rsidR="004540A7" w:rsidRPr="00D74129" w:rsidRDefault="004540A7" w:rsidP="00064BC1">
            <w:pPr>
              <w:jc w:val="both"/>
              <w:rPr>
                <w:rFonts w:cs="Arial"/>
                <w:color w:val="FFFFFF"/>
                <w:sz w:val="20"/>
              </w:rPr>
            </w:pPr>
          </w:p>
        </w:tc>
        <w:tc>
          <w:tcPr>
            <w:tcW w:w="3260" w:type="dxa"/>
            <w:shd w:val="clear" w:color="auto" w:fill="002060"/>
          </w:tcPr>
          <w:p w14:paraId="025C9372" w14:textId="77777777" w:rsidR="004540A7" w:rsidRPr="00D74129" w:rsidRDefault="004540A7" w:rsidP="00064BC1">
            <w:pPr>
              <w:jc w:val="both"/>
              <w:rPr>
                <w:rFonts w:cs="Arial"/>
                <w:b/>
                <w:color w:val="FFFFFF"/>
                <w:sz w:val="20"/>
              </w:rPr>
            </w:pPr>
            <w:r w:rsidRPr="00D74129">
              <w:rPr>
                <w:rFonts w:cs="Arial"/>
                <w:b/>
                <w:color w:val="FFFFFF"/>
                <w:sz w:val="20"/>
              </w:rPr>
              <w:t xml:space="preserve">‘You said’ </w:t>
            </w:r>
          </w:p>
        </w:tc>
        <w:tc>
          <w:tcPr>
            <w:tcW w:w="5103" w:type="dxa"/>
            <w:shd w:val="clear" w:color="auto" w:fill="002060"/>
          </w:tcPr>
          <w:p w14:paraId="34911D62" w14:textId="77777777" w:rsidR="004540A7" w:rsidRPr="00D74129" w:rsidRDefault="004540A7" w:rsidP="00064BC1">
            <w:pPr>
              <w:jc w:val="both"/>
              <w:rPr>
                <w:rFonts w:cs="Arial"/>
                <w:b/>
                <w:color w:val="FFFFFF"/>
                <w:sz w:val="20"/>
              </w:rPr>
            </w:pPr>
            <w:r w:rsidRPr="00D74129">
              <w:rPr>
                <w:rFonts w:cs="Arial"/>
                <w:b/>
                <w:color w:val="FFFFFF"/>
                <w:sz w:val="20"/>
              </w:rPr>
              <w:t xml:space="preserve">‘We did’ </w:t>
            </w:r>
          </w:p>
        </w:tc>
      </w:tr>
      <w:tr w:rsidR="004540A7" w:rsidRPr="00D74129" w14:paraId="31C25B71" w14:textId="77777777" w:rsidTr="00D74129">
        <w:trPr>
          <w:trHeight w:val="672"/>
        </w:trPr>
        <w:tc>
          <w:tcPr>
            <w:tcW w:w="1838" w:type="dxa"/>
            <w:shd w:val="clear" w:color="auto" w:fill="D9D9D9"/>
          </w:tcPr>
          <w:p w14:paraId="155A66E7" w14:textId="77777777" w:rsidR="004540A7" w:rsidRPr="00D74129" w:rsidRDefault="004540A7" w:rsidP="00064BC1">
            <w:pPr>
              <w:jc w:val="both"/>
              <w:rPr>
                <w:rFonts w:cs="Arial"/>
                <w:b/>
                <w:i/>
                <w:color w:val="000000"/>
                <w:sz w:val="20"/>
              </w:rPr>
            </w:pPr>
            <w:r w:rsidRPr="00D74129">
              <w:rPr>
                <w:rFonts w:cs="Arial"/>
                <w:b/>
                <w:i/>
                <w:color w:val="000000"/>
                <w:sz w:val="20"/>
              </w:rPr>
              <w:t xml:space="preserve">Theme </w:t>
            </w:r>
          </w:p>
        </w:tc>
        <w:tc>
          <w:tcPr>
            <w:tcW w:w="3260" w:type="dxa"/>
            <w:shd w:val="clear" w:color="auto" w:fill="D9D9D9"/>
          </w:tcPr>
          <w:p w14:paraId="482A6144" w14:textId="77777777" w:rsidR="004540A7" w:rsidRPr="00D74129" w:rsidRDefault="004540A7" w:rsidP="00064BC1">
            <w:pPr>
              <w:jc w:val="both"/>
              <w:rPr>
                <w:rFonts w:cs="Arial"/>
                <w:b/>
                <w:i/>
                <w:color w:val="000000"/>
                <w:sz w:val="20"/>
              </w:rPr>
            </w:pPr>
            <w:r w:rsidRPr="00D74129">
              <w:rPr>
                <w:rFonts w:cs="Arial"/>
                <w:b/>
                <w:i/>
                <w:color w:val="000000"/>
                <w:sz w:val="20"/>
              </w:rPr>
              <w:t xml:space="preserve">Sub-themes </w:t>
            </w:r>
          </w:p>
        </w:tc>
        <w:tc>
          <w:tcPr>
            <w:tcW w:w="5103" w:type="dxa"/>
            <w:shd w:val="clear" w:color="auto" w:fill="D9D9D9"/>
          </w:tcPr>
          <w:p w14:paraId="1CE25422" w14:textId="7E36A784" w:rsidR="004540A7" w:rsidRPr="00D74129" w:rsidRDefault="00547F6B" w:rsidP="00547F6B">
            <w:pPr>
              <w:jc w:val="both"/>
              <w:rPr>
                <w:rFonts w:cs="Arial"/>
                <w:b/>
                <w:i/>
                <w:color w:val="000000"/>
                <w:sz w:val="20"/>
              </w:rPr>
            </w:pPr>
            <w:r>
              <w:rPr>
                <w:rFonts w:cs="Arial"/>
                <w:b/>
                <w:i/>
                <w:color w:val="000000"/>
                <w:sz w:val="20"/>
              </w:rPr>
              <w:t>A</w:t>
            </w:r>
            <w:r w:rsidR="004540A7" w:rsidRPr="00D74129">
              <w:rPr>
                <w:rFonts w:cs="Arial"/>
                <w:b/>
                <w:i/>
                <w:color w:val="000000"/>
                <w:sz w:val="20"/>
              </w:rPr>
              <w:t xml:space="preserve">ctions taken to address complaints </w:t>
            </w:r>
          </w:p>
        </w:tc>
      </w:tr>
      <w:tr w:rsidR="004540A7" w:rsidRPr="00D74129" w14:paraId="35F82CF9" w14:textId="77777777" w:rsidTr="00D74129">
        <w:tc>
          <w:tcPr>
            <w:tcW w:w="1838" w:type="dxa"/>
            <w:shd w:val="clear" w:color="auto" w:fill="auto"/>
          </w:tcPr>
          <w:p w14:paraId="083AD5A5" w14:textId="77777777" w:rsidR="004540A7" w:rsidRPr="00D74129" w:rsidRDefault="004540A7" w:rsidP="00064BC1">
            <w:pPr>
              <w:jc w:val="both"/>
              <w:rPr>
                <w:rFonts w:cs="Arial"/>
                <w:b/>
                <w:color w:val="000000"/>
                <w:sz w:val="20"/>
              </w:rPr>
            </w:pPr>
            <w:r w:rsidRPr="00D74129">
              <w:rPr>
                <w:rFonts w:cs="Arial"/>
                <w:b/>
                <w:color w:val="000000"/>
                <w:sz w:val="20"/>
              </w:rPr>
              <w:t>Communication</w:t>
            </w:r>
          </w:p>
        </w:tc>
        <w:tc>
          <w:tcPr>
            <w:tcW w:w="3260" w:type="dxa"/>
            <w:shd w:val="clear" w:color="auto" w:fill="auto"/>
          </w:tcPr>
          <w:p w14:paraId="00A7A907" w14:textId="77777777" w:rsidR="00547F6B" w:rsidRDefault="004540A7" w:rsidP="004540A7">
            <w:pPr>
              <w:pStyle w:val="ListParagraph"/>
              <w:numPr>
                <w:ilvl w:val="0"/>
                <w:numId w:val="11"/>
              </w:numPr>
              <w:spacing w:after="200"/>
              <w:jc w:val="both"/>
              <w:rPr>
                <w:rFonts w:cs="Arial"/>
                <w:color w:val="000000"/>
                <w:sz w:val="20"/>
              </w:rPr>
            </w:pPr>
            <w:r w:rsidRPr="00D74129">
              <w:rPr>
                <w:rFonts w:cs="Arial"/>
                <w:color w:val="000000"/>
                <w:sz w:val="20"/>
              </w:rPr>
              <w:t>Patient admitted with chronic condition and co-morbidities on several occasions requiring oxygen and was not discharged with this despite requests from family.</w:t>
            </w:r>
            <w:r w:rsidR="00547F6B">
              <w:rPr>
                <w:rFonts w:cs="Arial"/>
                <w:color w:val="000000"/>
                <w:sz w:val="20"/>
              </w:rPr>
              <w:t xml:space="preserve"> </w:t>
            </w:r>
          </w:p>
          <w:p w14:paraId="72CB7A08" w14:textId="77777777" w:rsidR="004540A7" w:rsidRDefault="00547F6B" w:rsidP="004540A7">
            <w:pPr>
              <w:pStyle w:val="ListParagraph"/>
              <w:numPr>
                <w:ilvl w:val="0"/>
                <w:numId w:val="11"/>
              </w:numPr>
              <w:spacing w:after="200"/>
              <w:jc w:val="both"/>
              <w:rPr>
                <w:rFonts w:cs="Arial"/>
                <w:color w:val="000000"/>
                <w:sz w:val="20"/>
              </w:rPr>
            </w:pPr>
            <w:r>
              <w:rPr>
                <w:rFonts w:cs="Arial"/>
                <w:color w:val="000000"/>
                <w:sz w:val="20"/>
              </w:rPr>
              <w:t>Patient complained about their experience of induction of labour</w:t>
            </w:r>
          </w:p>
          <w:p w14:paraId="5422DB61" w14:textId="6490E143" w:rsidR="000E2E0F" w:rsidRPr="00D74129" w:rsidRDefault="000E2E0F" w:rsidP="000E2E0F">
            <w:pPr>
              <w:pStyle w:val="ListParagraph"/>
              <w:numPr>
                <w:ilvl w:val="0"/>
                <w:numId w:val="11"/>
              </w:numPr>
              <w:spacing w:after="200"/>
              <w:jc w:val="both"/>
              <w:rPr>
                <w:rFonts w:cs="Arial"/>
                <w:color w:val="000000"/>
                <w:sz w:val="20"/>
              </w:rPr>
            </w:pPr>
            <w:r>
              <w:rPr>
                <w:rFonts w:cs="Arial"/>
                <w:color w:val="000000"/>
                <w:sz w:val="20"/>
              </w:rPr>
              <w:t>Information that should be kept confidential was visible through an envelope.</w:t>
            </w:r>
          </w:p>
        </w:tc>
        <w:tc>
          <w:tcPr>
            <w:tcW w:w="5103" w:type="dxa"/>
            <w:shd w:val="clear" w:color="auto" w:fill="auto"/>
          </w:tcPr>
          <w:p w14:paraId="3D884875" w14:textId="77777777" w:rsidR="004540A7" w:rsidRDefault="004540A7" w:rsidP="00F5546E">
            <w:pPr>
              <w:numPr>
                <w:ilvl w:val="0"/>
                <w:numId w:val="11"/>
              </w:numPr>
              <w:spacing w:after="200"/>
              <w:contextualSpacing/>
              <w:jc w:val="both"/>
              <w:rPr>
                <w:rFonts w:cs="Arial"/>
                <w:color w:val="000000"/>
                <w:sz w:val="20"/>
              </w:rPr>
            </w:pPr>
            <w:r w:rsidRPr="00D74129">
              <w:rPr>
                <w:rFonts w:cs="Arial"/>
                <w:color w:val="000000"/>
                <w:sz w:val="20"/>
              </w:rPr>
              <w:t xml:space="preserve">Review of </w:t>
            </w:r>
            <w:r w:rsidR="00F5546E" w:rsidRPr="00D74129">
              <w:rPr>
                <w:rFonts w:cs="Arial"/>
                <w:color w:val="000000"/>
                <w:sz w:val="20"/>
              </w:rPr>
              <w:t xml:space="preserve">patient’s </w:t>
            </w:r>
            <w:r w:rsidRPr="00D74129">
              <w:rPr>
                <w:rFonts w:cs="Arial"/>
                <w:color w:val="000000"/>
                <w:sz w:val="20"/>
              </w:rPr>
              <w:t>diagnosis between different treating teams no</w:t>
            </w:r>
            <w:r w:rsidR="00F5546E" w:rsidRPr="00D74129">
              <w:rPr>
                <w:rFonts w:cs="Arial"/>
                <w:color w:val="000000"/>
                <w:sz w:val="20"/>
              </w:rPr>
              <w:t xml:space="preserve"> -</w:t>
            </w:r>
            <w:r w:rsidRPr="00D74129">
              <w:rPr>
                <w:rFonts w:cs="Arial"/>
                <w:color w:val="000000"/>
                <w:sz w:val="20"/>
              </w:rPr>
              <w:t xml:space="preserve"> trigger to start Advanced Care Planning, resulting in siloed care.  As a result improvements in MDT discussions have been taken forward with multiple providers.</w:t>
            </w:r>
          </w:p>
          <w:p w14:paraId="531BD43A" w14:textId="77777777" w:rsidR="00547F6B" w:rsidRDefault="00547F6B" w:rsidP="00547F6B">
            <w:pPr>
              <w:numPr>
                <w:ilvl w:val="0"/>
                <w:numId w:val="11"/>
              </w:numPr>
              <w:spacing w:after="200"/>
              <w:contextualSpacing/>
              <w:jc w:val="both"/>
              <w:rPr>
                <w:rFonts w:cs="Arial"/>
                <w:color w:val="000000"/>
                <w:sz w:val="20"/>
              </w:rPr>
            </w:pPr>
            <w:r>
              <w:rPr>
                <w:rFonts w:cs="Arial"/>
                <w:color w:val="000000"/>
                <w:sz w:val="20"/>
              </w:rPr>
              <w:t>Information provided to women on the induction of labour pathway reviewed.  An online information session for women has been created to assist with provision of information.</w:t>
            </w:r>
          </w:p>
          <w:p w14:paraId="5846FA2B" w14:textId="46EB20AA" w:rsidR="000E2E0F" w:rsidRPr="00D74129" w:rsidRDefault="000E2E0F" w:rsidP="000E2E0F">
            <w:pPr>
              <w:numPr>
                <w:ilvl w:val="0"/>
                <w:numId w:val="11"/>
              </w:numPr>
              <w:spacing w:after="200"/>
              <w:contextualSpacing/>
              <w:jc w:val="both"/>
              <w:rPr>
                <w:rFonts w:cs="Arial"/>
                <w:color w:val="000000"/>
                <w:sz w:val="20"/>
              </w:rPr>
            </w:pPr>
            <w:r>
              <w:rPr>
                <w:rFonts w:cs="Arial"/>
                <w:color w:val="000000"/>
                <w:sz w:val="20"/>
              </w:rPr>
              <w:t>Letters</w:t>
            </w:r>
            <w:r w:rsidRPr="000E2E0F">
              <w:rPr>
                <w:rFonts w:cs="Arial"/>
                <w:color w:val="000000"/>
                <w:sz w:val="20"/>
              </w:rPr>
              <w:t xml:space="preserve"> being sent out to </w:t>
            </w:r>
            <w:r>
              <w:rPr>
                <w:rFonts w:cs="Arial"/>
                <w:color w:val="000000"/>
                <w:sz w:val="20"/>
              </w:rPr>
              <w:t xml:space="preserve">be checked to </w:t>
            </w:r>
            <w:r w:rsidRPr="000E2E0F">
              <w:rPr>
                <w:rFonts w:cs="Arial"/>
                <w:color w:val="000000"/>
                <w:sz w:val="20"/>
              </w:rPr>
              <w:t>ensure that only the recipient and their address is visual in the envelope window and the administration team have been updated on how to fold the letters correctly to prevent personal details being displayed in the future.</w:t>
            </w:r>
          </w:p>
        </w:tc>
      </w:tr>
      <w:tr w:rsidR="004540A7" w:rsidRPr="00D74129" w14:paraId="598CFB6A" w14:textId="77777777" w:rsidTr="00D74129">
        <w:tc>
          <w:tcPr>
            <w:tcW w:w="1838" w:type="dxa"/>
            <w:shd w:val="clear" w:color="auto" w:fill="auto"/>
          </w:tcPr>
          <w:p w14:paraId="0CE20EC6" w14:textId="77777777" w:rsidR="004540A7" w:rsidRPr="00D74129" w:rsidRDefault="004540A7" w:rsidP="00064BC1">
            <w:pPr>
              <w:jc w:val="both"/>
              <w:rPr>
                <w:rFonts w:cs="Arial"/>
                <w:b/>
                <w:color w:val="000000"/>
                <w:sz w:val="20"/>
              </w:rPr>
            </w:pPr>
            <w:r w:rsidRPr="00D74129">
              <w:rPr>
                <w:rFonts w:cs="Arial"/>
                <w:b/>
                <w:color w:val="000000"/>
                <w:sz w:val="20"/>
              </w:rPr>
              <w:lastRenderedPageBreak/>
              <w:t xml:space="preserve">Patient care </w:t>
            </w:r>
          </w:p>
        </w:tc>
        <w:tc>
          <w:tcPr>
            <w:tcW w:w="3260" w:type="dxa"/>
            <w:shd w:val="clear" w:color="auto" w:fill="auto"/>
          </w:tcPr>
          <w:p w14:paraId="1AAEBD81" w14:textId="77777777" w:rsidR="000E2E0F" w:rsidRDefault="004540A7" w:rsidP="000E2E0F">
            <w:pPr>
              <w:pStyle w:val="ListParagraph"/>
              <w:numPr>
                <w:ilvl w:val="0"/>
                <w:numId w:val="11"/>
              </w:numPr>
              <w:spacing w:after="200"/>
              <w:jc w:val="both"/>
              <w:rPr>
                <w:rFonts w:cs="Arial"/>
                <w:color w:val="000000"/>
                <w:sz w:val="20"/>
              </w:rPr>
            </w:pPr>
            <w:r w:rsidRPr="000E2E0F">
              <w:rPr>
                <w:rFonts w:cs="Arial"/>
                <w:color w:val="000000"/>
                <w:sz w:val="20"/>
              </w:rPr>
              <w:t>Patient found their bed space dirty and sheets not changed.</w:t>
            </w:r>
          </w:p>
          <w:p w14:paraId="064F416C" w14:textId="2B6D2714" w:rsidR="00547F6B" w:rsidRPr="000E2E0F" w:rsidRDefault="00547F6B" w:rsidP="000E2E0F">
            <w:pPr>
              <w:pStyle w:val="ListParagraph"/>
              <w:numPr>
                <w:ilvl w:val="0"/>
                <w:numId w:val="11"/>
              </w:numPr>
              <w:spacing w:after="200"/>
              <w:jc w:val="both"/>
              <w:rPr>
                <w:rFonts w:cs="Arial"/>
                <w:color w:val="000000"/>
                <w:sz w:val="20"/>
              </w:rPr>
            </w:pPr>
            <w:r w:rsidRPr="000E2E0F">
              <w:rPr>
                <w:rFonts w:cs="Arial"/>
                <w:color w:val="000000"/>
                <w:sz w:val="20"/>
              </w:rPr>
              <w:t>Patient complained about a lack of knowledge and support after surgery</w:t>
            </w:r>
          </w:p>
          <w:p w14:paraId="15810754" w14:textId="77777777" w:rsidR="000E2E0F" w:rsidRPr="000E2E0F" w:rsidRDefault="000E2E0F" w:rsidP="00346836">
            <w:pPr>
              <w:pStyle w:val="ListParagraph"/>
              <w:spacing w:after="200"/>
              <w:ind w:left="360"/>
              <w:jc w:val="both"/>
              <w:rPr>
                <w:rFonts w:cs="Arial"/>
                <w:color w:val="000000"/>
                <w:sz w:val="20"/>
              </w:rPr>
            </w:pPr>
          </w:p>
          <w:p w14:paraId="70376793" w14:textId="77777777" w:rsidR="00547F6B" w:rsidRDefault="00547F6B" w:rsidP="00547F6B">
            <w:pPr>
              <w:pStyle w:val="ListParagraph"/>
              <w:numPr>
                <w:ilvl w:val="0"/>
                <w:numId w:val="11"/>
              </w:numPr>
              <w:spacing w:after="200"/>
              <w:jc w:val="both"/>
              <w:rPr>
                <w:rFonts w:cs="Arial"/>
                <w:color w:val="000000"/>
                <w:sz w:val="20"/>
              </w:rPr>
            </w:pPr>
            <w:r>
              <w:rPr>
                <w:rFonts w:cs="Arial"/>
                <w:color w:val="000000"/>
                <w:sz w:val="20"/>
              </w:rPr>
              <w:t>Family have complained after about the ward care of a patient with fragile skin.</w:t>
            </w:r>
          </w:p>
          <w:p w14:paraId="575D6BE3" w14:textId="425B1B72" w:rsidR="00547F6B" w:rsidRPr="00D74129" w:rsidRDefault="00547F6B" w:rsidP="00346836">
            <w:pPr>
              <w:pStyle w:val="ListParagraph"/>
              <w:spacing w:after="200"/>
              <w:ind w:left="360"/>
              <w:jc w:val="both"/>
              <w:rPr>
                <w:rFonts w:cs="Arial"/>
                <w:color w:val="000000"/>
                <w:sz w:val="20"/>
              </w:rPr>
            </w:pPr>
          </w:p>
        </w:tc>
        <w:tc>
          <w:tcPr>
            <w:tcW w:w="5103" w:type="dxa"/>
            <w:shd w:val="clear" w:color="auto" w:fill="auto"/>
          </w:tcPr>
          <w:p w14:paraId="584EA0BA" w14:textId="0E77BE56" w:rsidR="004540A7" w:rsidRDefault="004540A7" w:rsidP="00F5546E">
            <w:pPr>
              <w:numPr>
                <w:ilvl w:val="0"/>
                <w:numId w:val="10"/>
              </w:numPr>
              <w:spacing w:after="200"/>
              <w:contextualSpacing/>
              <w:jc w:val="both"/>
              <w:rPr>
                <w:rFonts w:cs="Arial"/>
                <w:color w:val="000000"/>
                <w:sz w:val="20"/>
              </w:rPr>
            </w:pPr>
            <w:r w:rsidRPr="00D74129">
              <w:rPr>
                <w:rFonts w:cs="Arial"/>
                <w:color w:val="000000"/>
                <w:sz w:val="20"/>
              </w:rPr>
              <w:t>Cleanliness and sheets to be changed regularly. Cleanliness audit</w:t>
            </w:r>
            <w:r w:rsidR="00F5546E" w:rsidRPr="00D74129">
              <w:rPr>
                <w:rFonts w:cs="Arial"/>
                <w:color w:val="000000"/>
                <w:sz w:val="20"/>
              </w:rPr>
              <w:t>s stepped up</w:t>
            </w:r>
            <w:r w:rsidRPr="00D74129">
              <w:rPr>
                <w:rFonts w:cs="Arial"/>
                <w:color w:val="000000"/>
                <w:sz w:val="20"/>
              </w:rPr>
              <w:t>.</w:t>
            </w:r>
          </w:p>
          <w:p w14:paraId="22CDAD81" w14:textId="77777777" w:rsidR="000E2E0F" w:rsidRDefault="000E2E0F" w:rsidP="00346836">
            <w:pPr>
              <w:spacing w:after="200"/>
              <w:ind w:left="360"/>
              <w:contextualSpacing/>
              <w:jc w:val="both"/>
              <w:rPr>
                <w:rFonts w:cs="Arial"/>
                <w:color w:val="000000"/>
                <w:sz w:val="20"/>
              </w:rPr>
            </w:pPr>
          </w:p>
          <w:p w14:paraId="42A76323" w14:textId="77777777" w:rsidR="00547F6B" w:rsidRDefault="00547F6B" w:rsidP="00547F6B">
            <w:pPr>
              <w:numPr>
                <w:ilvl w:val="0"/>
                <w:numId w:val="10"/>
              </w:numPr>
              <w:spacing w:after="200"/>
              <w:contextualSpacing/>
              <w:jc w:val="both"/>
              <w:rPr>
                <w:rFonts w:cs="Arial"/>
                <w:color w:val="000000"/>
                <w:sz w:val="20"/>
              </w:rPr>
            </w:pPr>
            <w:r w:rsidRPr="00547F6B">
              <w:rPr>
                <w:rFonts w:cs="Arial"/>
                <w:color w:val="000000"/>
                <w:sz w:val="20"/>
              </w:rPr>
              <w:t>The team on Richmond Ward have been provided with additional Stoma Care and education and training and have developed a surgical rotation to support nurses to advance their skills.</w:t>
            </w:r>
          </w:p>
          <w:p w14:paraId="3600D8E1" w14:textId="2726FCCD" w:rsidR="00547F6B" w:rsidRPr="00D74129" w:rsidRDefault="00547F6B" w:rsidP="00547F6B">
            <w:pPr>
              <w:numPr>
                <w:ilvl w:val="0"/>
                <w:numId w:val="10"/>
              </w:numPr>
              <w:spacing w:after="200"/>
              <w:contextualSpacing/>
              <w:jc w:val="both"/>
              <w:rPr>
                <w:rFonts w:cs="Arial"/>
                <w:color w:val="000000"/>
                <w:sz w:val="20"/>
              </w:rPr>
            </w:pPr>
            <w:r>
              <w:rPr>
                <w:rFonts w:cs="Arial"/>
                <w:color w:val="000000"/>
                <w:sz w:val="20"/>
              </w:rPr>
              <w:t>Nursing</w:t>
            </w:r>
            <w:r w:rsidRPr="00547F6B">
              <w:rPr>
                <w:rFonts w:cs="Arial"/>
                <w:color w:val="000000"/>
                <w:sz w:val="20"/>
              </w:rPr>
              <w:t xml:space="preserve"> team </w:t>
            </w:r>
            <w:r>
              <w:rPr>
                <w:rFonts w:cs="Arial"/>
                <w:color w:val="000000"/>
                <w:sz w:val="20"/>
              </w:rPr>
              <w:t xml:space="preserve">to ensure </w:t>
            </w:r>
            <w:r w:rsidRPr="00547F6B">
              <w:rPr>
                <w:rFonts w:cs="Arial"/>
                <w:color w:val="000000"/>
                <w:sz w:val="20"/>
              </w:rPr>
              <w:t xml:space="preserve">body </w:t>
            </w:r>
            <w:r>
              <w:rPr>
                <w:rFonts w:cs="Arial"/>
                <w:color w:val="000000"/>
                <w:sz w:val="20"/>
              </w:rPr>
              <w:t xml:space="preserve">mapping is used </w:t>
            </w:r>
            <w:r w:rsidRPr="00547F6B">
              <w:rPr>
                <w:rFonts w:cs="Arial"/>
                <w:color w:val="000000"/>
                <w:sz w:val="20"/>
              </w:rPr>
              <w:t>to assess mother’s s</w:t>
            </w:r>
            <w:r>
              <w:rPr>
                <w:rFonts w:cs="Arial"/>
                <w:color w:val="000000"/>
                <w:sz w:val="20"/>
              </w:rPr>
              <w:t>kin and document the bruises.</w:t>
            </w:r>
          </w:p>
        </w:tc>
      </w:tr>
      <w:tr w:rsidR="004540A7" w:rsidRPr="00D74129" w14:paraId="7314ABC8" w14:textId="77777777" w:rsidTr="00D74129">
        <w:trPr>
          <w:trHeight w:val="1260"/>
        </w:trPr>
        <w:tc>
          <w:tcPr>
            <w:tcW w:w="1838" w:type="dxa"/>
            <w:shd w:val="clear" w:color="auto" w:fill="auto"/>
          </w:tcPr>
          <w:p w14:paraId="1095FCE2" w14:textId="77777777" w:rsidR="004540A7" w:rsidRPr="00D74129" w:rsidRDefault="004540A7" w:rsidP="00064BC1">
            <w:pPr>
              <w:jc w:val="both"/>
              <w:rPr>
                <w:rFonts w:cs="Arial"/>
                <w:b/>
                <w:color w:val="000000"/>
                <w:sz w:val="20"/>
              </w:rPr>
            </w:pPr>
            <w:r w:rsidRPr="00D74129">
              <w:rPr>
                <w:rFonts w:cs="Arial"/>
                <w:b/>
                <w:color w:val="000000"/>
                <w:sz w:val="20"/>
              </w:rPr>
              <w:t>Clinical care and treatment – Obs/Gynae</w:t>
            </w:r>
          </w:p>
        </w:tc>
        <w:tc>
          <w:tcPr>
            <w:tcW w:w="3260" w:type="dxa"/>
            <w:shd w:val="clear" w:color="auto" w:fill="auto"/>
          </w:tcPr>
          <w:p w14:paraId="40442CFF" w14:textId="77777777" w:rsidR="004540A7" w:rsidRDefault="004540A7" w:rsidP="004540A7">
            <w:pPr>
              <w:pStyle w:val="ListParagraph"/>
              <w:numPr>
                <w:ilvl w:val="0"/>
                <w:numId w:val="12"/>
              </w:numPr>
              <w:spacing w:after="200"/>
              <w:jc w:val="both"/>
              <w:rPr>
                <w:rFonts w:cs="Arial"/>
                <w:color w:val="000000"/>
                <w:sz w:val="20"/>
              </w:rPr>
            </w:pPr>
            <w:r w:rsidRPr="00D74129">
              <w:rPr>
                <w:rFonts w:cs="Arial"/>
                <w:color w:val="000000"/>
                <w:sz w:val="20"/>
              </w:rPr>
              <w:t>A patient's baby scans which had been tracked on another woman’s growth chart.</w:t>
            </w:r>
          </w:p>
          <w:p w14:paraId="704D873A" w14:textId="1CA74E45" w:rsidR="00547F6B" w:rsidRDefault="007F3C4D" w:rsidP="007F3C4D">
            <w:pPr>
              <w:pStyle w:val="ListParagraph"/>
              <w:numPr>
                <w:ilvl w:val="0"/>
                <w:numId w:val="12"/>
              </w:numPr>
              <w:spacing w:after="200"/>
              <w:jc w:val="both"/>
              <w:rPr>
                <w:rFonts w:cs="Arial"/>
                <w:color w:val="000000"/>
                <w:sz w:val="20"/>
              </w:rPr>
            </w:pPr>
            <w:r>
              <w:rPr>
                <w:rFonts w:cs="Arial"/>
                <w:color w:val="000000"/>
                <w:sz w:val="20"/>
              </w:rPr>
              <w:t xml:space="preserve">Woman had a procedure without her consent and not given any information about the </w:t>
            </w:r>
            <w:r w:rsidR="000E2E0F">
              <w:rPr>
                <w:rFonts w:cs="Arial"/>
                <w:color w:val="000000"/>
                <w:sz w:val="20"/>
              </w:rPr>
              <w:t>pr</w:t>
            </w:r>
            <w:r>
              <w:rPr>
                <w:rFonts w:cs="Arial"/>
                <w:color w:val="000000"/>
                <w:sz w:val="20"/>
              </w:rPr>
              <w:t>o</w:t>
            </w:r>
            <w:r w:rsidR="000E2E0F">
              <w:rPr>
                <w:rFonts w:cs="Arial"/>
                <w:color w:val="000000"/>
                <w:sz w:val="20"/>
              </w:rPr>
              <w:t>c</w:t>
            </w:r>
            <w:r>
              <w:rPr>
                <w:rFonts w:cs="Arial"/>
                <w:color w:val="000000"/>
                <w:sz w:val="20"/>
              </w:rPr>
              <w:t xml:space="preserve">edure </w:t>
            </w:r>
          </w:p>
          <w:p w14:paraId="5972810F" w14:textId="1BA48FBE" w:rsidR="008C6EEB" w:rsidRDefault="008C6EEB" w:rsidP="00346836">
            <w:pPr>
              <w:spacing w:after="200"/>
              <w:jc w:val="both"/>
              <w:rPr>
                <w:rFonts w:cs="Arial"/>
                <w:color w:val="000000"/>
                <w:sz w:val="20"/>
              </w:rPr>
            </w:pPr>
          </w:p>
          <w:p w14:paraId="132B390E" w14:textId="77777777" w:rsidR="008C6EEB" w:rsidRPr="00346836" w:rsidRDefault="008C6EEB" w:rsidP="00346836">
            <w:pPr>
              <w:spacing w:after="200"/>
              <w:jc w:val="both"/>
              <w:rPr>
                <w:rFonts w:cs="Arial"/>
                <w:color w:val="000000"/>
                <w:sz w:val="20"/>
              </w:rPr>
            </w:pPr>
          </w:p>
          <w:p w14:paraId="651328BD" w14:textId="234394A8" w:rsidR="008C6EEB" w:rsidRPr="00D74129" w:rsidRDefault="008C6EEB" w:rsidP="007F3C4D">
            <w:pPr>
              <w:pStyle w:val="ListParagraph"/>
              <w:numPr>
                <w:ilvl w:val="0"/>
                <w:numId w:val="12"/>
              </w:numPr>
              <w:spacing w:after="200"/>
              <w:jc w:val="both"/>
              <w:rPr>
                <w:rFonts w:cs="Arial"/>
                <w:color w:val="000000"/>
                <w:sz w:val="20"/>
              </w:rPr>
            </w:pPr>
            <w:r>
              <w:rPr>
                <w:rFonts w:cs="Arial"/>
                <w:color w:val="000000"/>
                <w:sz w:val="20"/>
              </w:rPr>
              <w:t>A lack of breastfeeding assistance reported by a new mother.</w:t>
            </w:r>
          </w:p>
        </w:tc>
        <w:tc>
          <w:tcPr>
            <w:tcW w:w="5103" w:type="dxa"/>
            <w:shd w:val="clear" w:color="auto" w:fill="auto"/>
          </w:tcPr>
          <w:p w14:paraId="15847181" w14:textId="2108D0B6" w:rsidR="004540A7" w:rsidRDefault="004540A7" w:rsidP="004540A7">
            <w:pPr>
              <w:numPr>
                <w:ilvl w:val="0"/>
                <w:numId w:val="10"/>
              </w:numPr>
              <w:spacing w:after="200"/>
              <w:contextualSpacing/>
              <w:jc w:val="both"/>
              <w:rPr>
                <w:rFonts w:cs="Arial"/>
                <w:color w:val="000000"/>
                <w:sz w:val="20"/>
              </w:rPr>
            </w:pPr>
            <w:r w:rsidRPr="00D74129">
              <w:rPr>
                <w:rFonts w:cs="Arial"/>
                <w:color w:val="000000"/>
                <w:sz w:val="20"/>
              </w:rPr>
              <w:t xml:space="preserve">Antenatal Clinic Matron has </w:t>
            </w:r>
            <w:r w:rsidR="008C6EEB">
              <w:rPr>
                <w:rFonts w:cs="Arial"/>
                <w:color w:val="000000"/>
                <w:sz w:val="20"/>
              </w:rPr>
              <w:t>asked</w:t>
            </w:r>
            <w:r w:rsidRPr="00D74129">
              <w:rPr>
                <w:rFonts w:cs="Arial"/>
                <w:color w:val="000000"/>
                <w:sz w:val="20"/>
              </w:rPr>
              <w:t xml:space="preserve"> midwives to be vigilant when filing papers into patient records.</w:t>
            </w:r>
          </w:p>
          <w:p w14:paraId="6A3B89AA" w14:textId="77777777" w:rsidR="008C6EEB" w:rsidRDefault="008C6EEB" w:rsidP="00346836">
            <w:pPr>
              <w:spacing w:after="200"/>
              <w:ind w:left="360"/>
              <w:contextualSpacing/>
              <w:jc w:val="both"/>
              <w:rPr>
                <w:rFonts w:cs="Arial"/>
                <w:color w:val="000000"/>
                <w:sz w:val="20"/>
              </w:rPr>
            </w:pPr>
          </w:p>
          <w:p w14:paraId="2207ED36" w14:textId="77777777" w:rsidR="00547F6B" w:rsidRDefault="000E2E0F" w:rsidP="000E2E0F">
            <w:pPr>
              <w:numPr>
                <w:ilvl w:val="0"/>
                <w:numId w:val="10"/>
              </w:numPr>
              <w:spacing w:after="200"/>
              <w:contextualSpacing/>
              <w:jc w:val="both"/>
              <w:rPr>
                <w:rFonts w:cs="Arial"/>
                <w:color w:val="000000"/>
                <w:sz w:val="20"/>
              </w:rPr>
            </w:pPr>
            <w:r>
              <w:rPr>
                <w:rFonts w:cs="Arial"/>
                <w:color w:val="000000"/>
                <w:sz w:val="20"/>
              </w:rPr>
              <w:t>A</w:t>
            </w:r>
            <w:r w:rsidRPr="000E2E0F">
              <w:rPr>
                <w:rFonts w:cs="Arial"/>
                <w:color w:val="000000"/>
                <w:sz w:val="20"/>
              </w:rPr>
              <w:t xml:space="preserve"> locum policy and local induction programme </w:t>
            </w:r>
            <w:r>
              <w:rPr>
                <w:rFonts w:cs="Arial"/>
                <w:color w:val="000000"/>
                <w:sz w:val="20"/>
              </w:rPr>
              <w:t xml:space="preserve">has been produced </w:t>
            </w:r>
            <w:r w:rsidRPr="000E2E0F">
              <w:rPr>
                <w:rFonts w:cs="Arial"/>
                <w:color w:val="000000"/>
                <w:sz w:val="20"/>
              </w:rPr>
              <w:t>to ensure clear communication of the required standards and awareness of local guidance and expected practices around documentation, consent and communication are upheld. Orientation and local induction should also include agency nurses to make sure that they are aware of our local policies and particularly around chaperoning and advocacy for our patients.</w:t>
            </w:r>
          </w:p>
          <w:p w14:paraId="2B0ED52B" w14:textId="5E1AF7D2" w:rsidR="008C6EEB" w:rsidRPr="00D74129" w:rsidRDefault="008C6EEB" w:rsidP="008C6EEB">
            <w:pPr>
              <w:numPr>
                <w:ilvl w:val="0"/>
                <w:numId w:val="10"/>
              </w:numPr>
              <w:spacing w:after="200"/>
              <w:contextualSpacing/>
              <w:jc w:val="both"/>
              <w:rPr>
                <w:rFonts w:cs="Arial"/>
                <w:color w:val="000000"/>
                <w:sz w:val="20"/>
              </w:rPr>
            </w:pPr>
            <w:r w:rsidRPr="008C6EEB">
              <w:rPr>
                <w:rFonts w:cs="Arial"/>
                <w:color w:val="000000"/>
                <w:sz w:val="20"/>
              </w:rPr>
              <w:t>All mothers and babies should be having breastfeeding assessments by their ward midwife. Infant feeding support is the responsibility of the midwife on the ward. In instances where there are feeding challenges identified by the ward midwives, a referral to the infant feeding team prior to discharge is recommended and the infant feeding team have reiterated this to the ward team.</w:t>
            </w:r>
          </w:p>
        </w:tc>
      </w:tr>
    </w:tbl>
    <w:p w14:paraId="7B0F1DB3" w14:textId="77777777" w:rsidR="004540A7" w:rsidRPr="002D1C7E" w:rsidRDefault="004540A7" w:rsidP="004540A7">
      <w:pPr>
        <w:spacing w:after="0"/>
        <w:jc w:val="both"/>
        <w:rPr>
          <w:rFonts w:cs="Arial"/>
        </w:rPr>
      </w:pPr>
    </w:p>
    <w:p w14:paraId="225ACD2F" w14:textId="77777777" w:rsidR="00346836" w:rsidRDefault="00346836" w:rsidP="004540A7">
      <w:pPr>
        <w:spacing w:after="0"/>
        <w:rPr>
          <w:rFonts w:cs="Arial"/>
          <w:b/>
          <w:sz w:val="22"/>
        </w:rPr>
      </w:pPr>
    </w:p>
    <w:p w14:paraId="234D65BF" w14:textId="77777777" w:rsidR="00346836" w:rsidRDefault="00346836" w:rsidP="004540A7">
      <w:pPr>
        <w:spacing w:after="0"/>
        <w:rPr>
          <w:rFonts w:cs="Arial"/>
          <w:b/>
          <w:sz w:val="22"/>
        </w:rPr>
      </w:pPr>
    </w:p>
    <w:p w14:paraId="453E8C07" w14:textId="77777777" w:rsidR="00346836" w:rsidRDefault="00346836" w:rsidP="004540A7">
      <w:pPr>
        <w:spacing w:after="0"/>
        <w:rPr>
          <w:rFonts w:cs="Arial"/>
          <w:b/>
          <w:sz w:val="22"/>
        </w:rPr>
      </w:pPr>
    </w:p>
    <w:p w14:paraId="163E7A98" w14:textId="77777777" w:rsidR="00346836" w:rsidRDefault="00346836" w:rsidP="004540A7">
      <w:pPr>
        <w:spacing w:after="0"/>
        <w:rPr>
          <w:rFonts w:cs="Arial"/>
          <w:b/>
          <w:sz w:val="22"/>
        </w:rPr>
      </w:pPr>
    </w:p>
    <w:p w14:paraId="1CB674C1" w14:textId="77777777" w:rsidR="00346836" w:rsidRDefault="00346836" w:rsidP="004540A7">
      <w:pPr>
        <w:spacing w:after="0"/>
        <w:rPr>
          <w:rFonts w:cs="Arial"/>
          <w:b/>
          <w:sz w:val="22"/>
        </w:rPr>
      </w:pPr>
    </w:p>
    <w:p w14:paraId="6F7F664F" w14:textId="77777777" w:rsidR="00346836" w:rsidRDefault="00346836" w:rsidP="004540A7">
      <w:pPr>
        <w:spacing w:after="0"/>
        <w:rPr>
          <w:rFonts w:cs="Arial"/>
          <w:b/>
          <w:sz w:val="22"/>
        </w:rPr>
      </w:pPr>
    </w:p>
    <w:p w14:paraId="3AE80A07" w14:textId="77777777" w:rsidR="00346836" w:rsidRDefault="00346836" w:rsidP="004540A7">
      <w:pPr>
        <w:spacing w:after="0"/>
        <w:rPr>
          <w:rFonts w:cs="Arial"/>
          <w:b/>
          <w:sz w:val="22"/>
        </w:rPr>
      </w:pPr>
    </w:p>
    <w:p w14:paraId="706A9601" w14:textId="77777777" w:rsidR="00346836" w:rsidRDefault="00346836" w:rsidP="004540A7">
      <w:pPr>
        <w:spacing w:after="0"/>
        <w:rPr>
          <w:rFonts w:cs="Arial"/>
          <w:b/>
          <w:sz w:val="22"/>
        </w:rPr>
      </w:pPr>
    </w:p>
    <w:p w14:paraId="061DC57E" w14:textId="77777777" w:rsidR="00346836" w:rsidRDefault="00346836" w:rsidP="004540A7">
      <w:pPr>
        <w:spacing w:after="0"/>
        <w:rPr>
          <w:rFonts w:cs="Arial"/>
          <w:b/>
          <w:sz w:val="22"/>
        </w:rPr>
      </w:pPr>
    </w:p>
    <w:p w14:paraId="2635781F" w14:textId="77777777" w:rsidR="00346836" w:rsidRDefault="00346836" w:rsidP="004540A7">
      <w:pPr>
        <w:spacing w:after="0"/>
        <w:rPr>
          <w:rFonts w:cs="Arial"/>
          <w:b/>
          <w:sz w:val="22"/>
        </w:rPr>
      </w:pPr>
    </w:p>
    <w:p w14:paraId="7269B74C" w14:textId="77777777" w:rsidR="00346836" w:rsidRDefault="00346836" w:rsidP="004540A7">
      <w:pPr>
        <w:spacing w:after="0"/>
        <w:rPr>
          <w:rFonts w:cs="Arial"/>
          <w:b/>
          <w:sz w:val="22"/>
        </w:rPr>
      </w:pPr>
    </w:p>
    <w:p w14:paraId="2720C1D9" w14:textId="77777777" w:rsidR="00346836" w:rsidRDefault="00346836" w:rsidP="004540A7">
      <w:pPr>
        <w:spacing w:after="0"/>
        <w:rPr>
          <w:rFonts w:cs="Arial"/>
          <w:b/>
          <w:sz w:val="22"/>
        </w:rPr>
      </w:pPr>
    </w:p>
    <w:p w14:paraId="46077AA3" w14:textId="77777777" w:rsidR="00346836" w:rsidRDefault="00346836" w:rsidP="004540A7">
      <w:pPr>
        <w:spacing w:after="0"/>
        <w:rPr>
          <w:rFonts w:cs="Arial"/>
          <w:b/>
          <w:sz w:val="22"/>
        </w:rPr>
      </w:pPr>
    </w:p>
    <w:p w14:paraId="65A7094C" w14:textId="77777777" w:rsidR="00346836" w:rsidRDefault="00346836" w:rsidP="004540A7">
      <w:pPr>
        <w:spacing w:after="0"/>
        <w:rPr>
          <w:rFonts w:cs="Arial"/>
          <w:b/>
          <w:sz w:val="22"/>
        </w:rPr>
      </w:pPr>
    </w:p>
    <w:p w14:paraId="029AC14B" w14:textId="77777777" w:rsidR="00346836" w:rsidRDefault="00346836" w:rsidP="004540A7">
      <w:pPr>
        <w:spacing w:after="0"/>
        <w:rPr>
          <w:rFonts w:cs="Arial"/>
          <w:b/>
          <w:sz w:val="22"/>
        </w:rPr>
      </w:pPr>
    </w:p>
    <w:p w14:paraId="5B44A19A" w14:textId="77777777" w:rsidR="00346836" w:rsidRDefault="00346836" w:rsidP="004540A7">
      <w:pPr>
        <w:spacing w:after="0"/>
        <w:rPr>
          <w:rFonts w:cs="Arial"/>
          <w:b/>
          <w:sz w:val="22"/>
        </w:rPr>
      </w:pPr>
    </w:p>
    <w:p w14:paraId="09DE2314" w14:textId="77777777" w:rsidR="00346836" w:rsidRDefault="00346836" w:rsidP="004540A7">
      <w:pPr>
        <w:spacing w:after="0"/>
        <w:rPr>
          <w:rFonts w:cs="Arial"/>
          <w:b/>
          <w:sz w:val="22"/>
        </w:rPr>
      </w:pPr>
    </w:p>
    <w:p w14:paraId="3780CB01" w14:textId="77777777" w:rsidR="00346836" w:rsidRDefault="00346836" w:rsidP="004540A7">
      <w:pPr>
        <w:spacing w:after="0"/>
        <w:rPr>
          <w:rFonts w:cs="Arial"/>
          <w:b/>
          <w:sz w:val="22"/>
        </w:rPr>
      </w:pPr>
    </w:p>
    <w:p w14:paraId="5D0ECD19" w14:textId="77777777" w:rsidR="00346836" w:rsidRDefault="00346836" w:rsidP="004540A7">
      <w:pPr>
        <w:spacing w:after="0"/>
        <w:rPr>
          <w:rFonts w:cs="Arial"/>
          <w:b/>
          <w:sz w:val="22"/>
        </w:rPr>
      </w:pPr>
    </w:p>
    <w:p w14:paraId="0AD89956" w14:textId="77777777" w:rsidR="00346836" w:rsidRDefault="00346836" w:rsidP="004540A7">
      <w:pPr>
        <w:spacing w:after="0"/>
        <w:rPr>
          <w:rFonts w:cs="Arial"/>
          <w:b/>
          <w:sz w:val="22"/>
        </w:rPr>
      </w:pPr>
    </w:p>
    <w:p w14:paraId="781E8205" w14:textId="77777777" w:rsidR="00346836" w:rsidRDefault="00346836" w:rsidP="004540A7">
      <w:pPr>
        <w:spacing w:after="0"/>
        <w:rPr>
          <w:rFonts w:cs="Arial"/>
          <w:b/>
          <w:sz w:val="22"/>
        </w:rPr>
      </w:pPr>
    </w:p>
    <w:p w14:paraId="56F7BACD" w14:textId="77777777" w:rsidR="00346836" w:rsidRDefault="00346836" w:rsidP="004540A7">
      <w:pPr>
        <w:spacing w:after="0"/>
        <w:rPr>
          <w:rFonts w:cs="Arial"/>
          <w:b/>
          <w:sz w:val="22"/>
        </w:rPr>
      </w:pPr>
    </w:p>
    <w:p w14:paraId="1A197ADF" w14:textId="77777777" w:rsidR="00346836" w:rsidRDefault="00346836" w:rsidP="004540A7">
      <w:pPr>
        <w:spacing w:after="0"/>
        <w:rPr>
          <w:rFonts w:cs="Arial"/>
          <w:b/>
          <w:sz w:val="22"/>
        </w:rPr>
      </w:pPr>
    </w:p>
    <w:p w14:paraId="7D9C4A8D" w14:textId="77777777" w:rsidR="00346836" w:rsidRDefault="00346836" w:rsidP="004540A7">
      <w:pPr>
        <w:spacing w:after="0"/>
        <w:rPr>
          <w:rFonts w:cs="Arial"/>
          <w:b/>
          <w:sz w:val="22"/>
        </w:rPr>
      </w:pPr>
    </w:p>
    <w:p w14:paraId="3AB82154" w14:textId="77777777" w:rsidR="00346836" w:rsidRDefault="00346836" w:rsidP="004540A7">
      <w:pPr>
        <w:spacing w:after="0"/>
        <w:rPr>
          <w:rFonts w:cs="Arial"/>
          <w:b/>
          <w:sz w:val="22"/>
        </w:rPr>
      </w:pPr>
    </w:p>
    <w:p w14:paraId="7332DCD6" w14:textId="77777777" w:rsidR="00346836" w:rsidRDefault="00346836" w:rsidP="004540A7">
      <w:pPr>
        <w:spacing w:after="0"/>
        <w:rPr>
          <w:rFonts w:cs="Arial"/>
          <w:b/>
          <w:sz w:val="22"/>
        </w:rPr>
      </w:pPr>
    </w:p>
    <w:p w14:paraId="0DF35A96" w14:textId="16631BEC" w:rsidR="004540A7" w:rsidRPr="00E46AB2" w:rsidRDefault="004540A7" w:rsidP="004540A7">
      <w:pPr>
        <w:spacing w:after="0"/>
        <w:rPr>
          <w:rFonts w:cs="Arial"/>
          <w:b/>
          <w:sz w:val="22"/>
        </w:rPr>
      </w:pPr>
      <w:r w:rsidRPr="00E46AB2">
        <w:rPr>
          <w:rFonts w:cs="Arial"/>
          <w:b/>
          <w:sz w:val="22"/>
        </w:rPr>
        <w:lastRenderedPageBreak/>
        <w:t>Informal PALS concerns</w:t>
      </w:r>
    </w:p>
    <w:p w14:paraId="4BE6D806" w14:textId="77777777" w:rsidR="004540A7" w:rsidRPr="00E46AB2" w:rsidRDefault="004540A7" w:rsidP="004540A7">
      <w:pPr>
        <w:spacing w:after="0"/>
        <w:rPr>
          <w:rFonts w:cs="Arial"/>
          <w:b/>
          <w:sz w:val="22"/>
        </w:rPr>
      </w:pPr>
    </w:p>
    <w:p w14:paraId="71FA4C79" w14:textId="21428A18" w:rsidR="004540A7" w:rsidRPr="00E46AB2" w:rsidRDefault="004540A7" w:rsidP="004540A7">
      <w:pPr>
        <w:spacing w:after="0"/>
        <w:rPr>
          <w:rFonts w:cs="Arial"/>
          <w:sz w:val="22"/>
        </w:rPr>
      </w:pPr>
      <w:r w:rsidRPr="00E46AB2">
        <w:rPr>
          <w:rFonts w:cs="Arial"/>
          <w:sz w:val="22"/>
        </w:rPr>
        <w:t xml:space="preserve">735 informal concerns were logged during this reporting period.  303 were for Chelsea and Westminster </w:t>
      </w:r>
      <w:r w:rsidR="00D215BF">
        <w:rPr>
          <w:rFonts w:cs="Arial"/>
          <w:sz w:val="22"/>
        </w:rPr>
        <w:t xml:space="preserve">site </w:t>
      </w:r>
      <w:r w:rsidRPr="00E46AB2">
        <w:rPr>
          <w:rFonts w:cs="Arial"/>
          <w:sz w:val="22"/>
        </w:rPr>
        <w:t xml:space="preserve">and 432 were for West Middlesex </w:t>
      </w:r>
      <w:r w:rsidR="00D215BF">
        <w:rPr>
          <w:rFonts w:cs="Arial"/>
          <w:sz w:val="22"/>
        </w:rPr>
        <w:t>site</w:t>
      </w:r>
      <w:r w:rsidRPr="00E46AB2">
        <w:rPr>
          <w:rFonts w:cs="Arial"/>
          <w:sz w:val="22"/>
        </w:rPr>
        <w:t>.</w:t>
      </w:r>
    </w:p>
    <w:p w14:paraId="2A54A62F" w14:textId="77777777" w:rsidR="004540A7" w:rsidRPr="00E46AB2" w:rsidRDefault="004540A7" w:rsidP="004540A7">
      <w:pPr>
        <w:spacing w:after="0"/>
        <w:rPr>
          <w:rFonts w:cs="Arial"/>
          <w:noProof/>
          <w:sz w:val="22"/>
          <w:lang w:eastAsia="en-GB"/>
        </w:rPr>
      </w:pPr>
    </w:p>
    <w:p w14:paraId="0C782607" w14:textId="77777777" w:rsidR="004540A7" w:rsidRPr="002D1C7E" w:rsidRDefault="004540A7" w:rsidP="004540A7">
      <w:pPr>
        <w:spacing w:after="0"/>
        <w:rPr>
          <w:rFonts w:cs="Arial"/>
        </w:rPr>
      </w:pPr>
      <w:r w:rsidRPr="002D1C7E">
        <w:rPr>
          <w:rFonts w:cs="Arial"/>
          <w:noProof/>
          <w:lang w:eastAsia="en-GB"/>
        </w:rPr>
        <w:drawing>
          <wp:inline distT="0" distB="0" distL="0" distR="0" wp14:anchorId="7385DFA4" wp14:editId="71E190EF">
            <wp:extent cx="6645910" cy="3575050"/>
            <wp:effectExtent l="0" t="0" r="2540" b="63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857A2EC" w14:textId="77777777" w:rsidR="004540A7" w:rsidRPr="002D1C7E" w:rsidRDefault="004540A7" w:rsidP="004540A7">
      <w:pPr>
        <w:spacing w:after="0"/>
        <w:rPr>
          <w:rFonts w:cs="Arial"/>
          <w:i/>
          <w:sz w:val="20"/>
        </w:rPr>
      </w:pPr>
      <w:r w:rsidRPr="002D1C7E">
        <w:rPr>
          <w:rFonts w:cs="Arial"/>
          <w:i/>
          <w:sz w:val="20"/>
        </w:rPr>
        <w:t>Informal concerns by month and year, April 2022 to March 2024</w:t>
      </w:r>
    </w:p>
    <w:p w14:paraId="55122368" w14:textId="77777777" w:rsidR="004540A7" w:rsidRPr="002D1C7E" w:rsidRDefault="004540A7" w:rsidP="004540A7">
      <w:pPr>
        <w:spacing w:after="0"/>
        <w:rPr>
          <w:rFonts w:cs="Arial"/>
        </w:rPr>
      </w:pPr>
    </w:p>
    <w:p w14:paraId="33E5275F" w14:textId="77777777" w:rsidR="004540A7" w:rsidRPr="002D1C7E" w:rsidRDefault="004540A7" w:rsidP="004540A7">
      <w:pPr>
        <w:spacing w:after="0"/>
        <w:jc w:val="both"/>
        <w:rPr>
          <w:rFonts w:cs="Arial"/>
          <w:b/>
        </w:rPr>
      </w:pPr>
    </w:p>
    <w:p w14:paraId="79243223" w14:textId="77777777" w:rsidR="004540A7" w:rsidRPr="002D1C7E" w:rsidRDefault="004540A7" w:rsidP="004540A7">
      <w:pPr>
        <w:spacing w:after="0"/>
        <w:rPr>
          <w:rFonts w:cs="Arial"/>
          <w:i/>
          <w:sz w:val="20"/>
        </w:rPr>
      </w:pPr>
      <w:r w:rsidRPr="002D1C7E">
        <w:rPr>
          <w:rFonts w:cs="Arial"/>
          <w:noProof/>
          <w:lang w:eastAsia="en-GB"/>
        </w:rPr>
        <w:drawing>
          <wp:inline distT="0" distB="0" distL="0" distR="0" wp14:anchorId="7582127D" wp14:editId="1A0C3462">
            <wp:extent cx="6645910" cy="3929380"/>
            <wp:effectExtent l="0" t="0" r="2540" b="1397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CA4659E" w14:textId="6DA0D5AE" w:rsidR="004540A7" w:rsidRPr="002D1C7E" w:rsidRDefault="004540A7" w:rsidP="004540A7">
      <w:pPr>
        <w:spacing w:after="0"/>
        <w:rPr>
          <w:rFonts w:cs="Arial"/>
          <w:i/>
          <w:sz w:val="20"/>
        </w:rPr>
      </w:pPr>
      <w:r w:rsidRPr="002D1C7E">
        <w:rPr>
          <w:rFonts w:cs="Arial"/>
          <w:i/>
          <w:sz w:val="20"/>
        </w:rPr>
        <w:t>Informal concerns by Specialty and site, April 202</w:t>
      </w:r>
      <w:r w:rsidR="009F19DA">
        <w:rPr>
          <w:rFonts w:cs="Arial"/>
          <w:i/>
          <w:sz w:val="20"/>
        </w:rPr>
        <w:t>3</w:t>
      </w:r>
      <w:r w:rsidRPr="002D1C7E">
        <w:rPr>
          <w:rFonts w:cs="Arial"/>
          <w:i/>
          <w:sz w:val="20"/>
        </w:rPr>
        <w:t xml:space="preserve"> – March 2024</w:t>
      </w:r>
    </w:p>
    <w:p w14:paraId="49DB56CF" w14:textId="77777777" w:rsidR="004540A7" w:rsidRPr="002D1C7E" w:rsidRDefault="004540A7" w:rsidP="004540A7">
      <w:pPr>
        <w:spacing w:after="0"/>
        <w:rPr>
          <w:rFonts w:cs="Arial"/>
          <w:i/>
          <w:sz w:val="20"/>
        </w:rPr>
      </w:pPr>
    </w:p>
    <w:p w14:paraId="7E9E1923" w14:textId="5FD70534" w:rsidR="004540A7" w:rsidRPr="009F19DA" w:rsidRDefault="007C348F" w:rsidP="004540A7">
      <w:r>
        <w:rPr>
          <w:sz w:val="22"/>
        </w:rPr>
        <w:t>In comparison to</w:t>
      </w:r>
      <w:r w:rsidR="004540A7" w:rsidRPr="009F19DA">
        <w:rPr>
          <w:sz w:val="22"/>
        </w:rPr>
        <w:t xml:space="preserve"> previous years, the majority of concerns were raised about </w:t>
      </w:r>
      <w:r>
        <w:rPr>
          <w:sz w:val="22"/>
        </w:rPr>
        <w:t>both</w:t>
      </w:r>
      <w:r w:rsidR="004540A7" w:rsidRPr="009F19DA">
        <w:rPr>
          <w:sz w:val="22"/>
        </w:rPr>
        <w:t xml:space="preserve"> Emergency Departments, followed by ENT at West Middlesex</w:t>
      </w:r>
      <w:r w:rsidR="009F19DA">
        <w:rPr>
          <w:sz w:val="22"/>
        </w:rPr>
        <w:t xml:space="preserve"> Hospital</w:t>
      </w:r>
      <w:r w:rsidR="004540A7" w:rsidRPr="009F19DA">
        <w:rPr>
          <w:sz w:val="22"/>
        </w:rPr>
        <w:t xml:space="preserve">.  Patients contacted us </w:t>
      </w:r>
      <w:r>
        <w:rPr>
          <w:sz w:val="22"/>
        </w:rPr>
        <w:t xml:space="preserve">with </w:t>
      </w:r>
      <w:r w:rsidR="004540A7" w:rsidRPr="009F19DA">
        <w:rPr>
          <w:sz w:val="22"/>
        </w:rPr>
        <w:t>problems with appointments</w:t>
      </w:r>
      <w:r w:rsidR="002379EF">
        <w:rPr>
          <w:sz w:val="22"/>
        </w:rPr>
        <w:t xml:space="preserve"> and poor communication</w:t>
      </w:r>
      <w:r w:rsidR="004540A7" w:rsidRPr="009F19DA">
        <w:rPr>
          <w:sz w:val="22"/>
        </w:rPr>
        <w:t xml:space="preserve"> in this area.</w:t>
      </w:r>
    </w:p>
    <w:p w14:paraId="12376108" w14:textId="77777777" w:rsidR="004540A7" w:rsidRPr="00D6070C" w:rsidRDefault="004540A7" w:rsidP="004540A7">
      <w:pPr>
        <w:spacing w:after="0"/>
        <w:jc w:val="both"/>
        <w:rPr>
          <w:sz w:val="22"/>
        </w:rPr>
      </w:pPr>
      <w:r w:rsidRPr="00D6070C">
        <w:rPr>
          <w:sz w:val="22"/>
        </w:rPr>
        <w:t>The majority of concerns raised were about communication followed by appointments.  There are highlighted issues with appointments and capacity in Planned Care.</w:t>
      </w:r>
    </w:p>
    <w:p w14:paraId="11B711FF" w14:textId="77777777" w:rsidR="004540A7" w:rsidRPr="00EB41D7" w:rsidRDefault="004540A7" w:rsidP="004540A7">
      <w:pPr>
        <w:spacing w:after="0"/>
        <w:jc w:val="both"/>
      </w:pPr>
    </w:p>
    <w:p w14:paraId="373A1E9B" w14:textId="77777777" w:rsidR="004540A7" w:rsidRDefault="004540A7" w:rsidP="004540A7">
      <w:pPr>
        <w:spacing w:after="0"/>
        <w:rPr>
          <w:i/>
          <w:sz w:val="20"/>
        </w:rPr>
      </w:pPr>
      <w:r>
        <w:rPr>
          <w:noProof/>
          <w:lang w:eastAsia="en-GB"/>
        </w:rPr>
        <w:drawing>
          <wp:inline distT="0" distB="0" distL="0" distR="0" wp14:anchorId="61424786" wp14:editId="46BEDB29">
            <wp:extent cx="6743700" cy="394335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i/>
          <w:sz w:val="20"/>
        </w:rPr>
        <w:t>Top 10 concerns raised by Division and subject</w:t>
      </w:r>
    </w:p>
    <w:p w14:paraId="4BB4F846" w14:textId="77777777" w:rsidR="004540A7" w:rsidRPr="00B14759" w:rsidRDefault="004540A7" w:rsidP="004540A7">
      <w:pPr>
        <w:spacing w:after="0"/>
        <w:rPr>
          <w:b/>
        </w:rPr>
      </w:pPr>
    </w:p>
    <w:p w14:paraId="78A578B5" w14:textId="77777777" w:rsidR="004540A7" w:rsidRDefault="004540A7" w:rsidP="004540A7">
      <w:pPr>
        <w:spacing w:after="0"/>
        <w:rPr>
          <w:b/>
        </w:rPr>
      </w:pPr>
    </w:p>
    <w:p w14:paraId="7F14AB71" w14:textId="77777777" w:rsidR="004540A7" w:rsidRDefault="004540A7" w:rsidP="00C262DB">
      <w:pPr>
        <w:spacing w:after="0"/>
        <w:ind w:left="-284"/>
        <w:rPr>
          <w:b/>
        </w:rPr>
      </w:pPr>
      <w:r>
        <w:rPr>
          <w:noProof/>
          <w:lang w:eastAsia="en-GB"/>
        </w:rPr>
        <w:lastRenderedPageBreak/>
        <w:drawing>
          <wp:inline distT="0" distB="0" distL="0" distR="0" wp14:anchorId="22EA9AEC" wp14:editId="1D462036">
            <wp:extent cx="6848475" cy="3352800"/>
            <wp:effectExtent l="0" t="0" r="9525"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701F946" w14:textId="77777777" w:rsidR="004540A7" w:rsidRDefault="004540A7" w:rsidP="004540A7">
      <w:pPr>
        <w:spacing w:after="0"/>
        <w:rPr>
          <w:b/>
        </w:rPr>
      </w:pPr>
    </w:p>
    <w:p w14:paraId="01C4C993" w14:textId="77777777" w:rsidR="004540A7" w:rsidRPr="00D6070C" w:rsidRDefault="004540A7" w:rsidP="004540A7">
      <w:pPr>
        <w:spacing w:after="0"/>
        <w:rPr>
          <w:b/>
          <w:sz w:val="22"/>
        </w:rPr>
      </w:pPr>
      <w:r w:rsidRPr="00D6070C">
        <w:rPr>
          <w:b/>
          <w:sz w:val="22"/>
        </w:rPr>
        <w:t xml:space="preserve">Informal concerns: Trust performance </w:t>
      </w:r>
    </w:p>
    <w:p w14:paraId="7575C964" w14:textId="77777777" w:rsidR="004540A7" w:rsidRDefault="004540A7" w:rsidP="004540A7">
      <w:pPr>
        <w:pStyle w:val="NoSpacing"/>
        <w:jc w:val="both"/>
      </w:pPr>
    </w:p>
    <w:p w14:paraId="42BBFBFD" w14:textId="13E88047" w:rsidR="004540A7" w:rsidRPr="00D6070C" w:rsidRDefault="004540A7" w:rsidP="004540A7">
      <w:pPr>
        <w:pStyle w:val="NoSpacing"/>
        <w:jc w:val="both"/>
        <w:rPr>
          <w:rFonts w:ascii="Arial" w:hAnsi="Arial" w:cs="Arial"/>
        </w:rPr>
      </w:pPr>
      <w:r w:rsidRPr="00D6070C">
        <w:rPr>
          <w:rFonts w:ascii="Arial" w:hAnsi="Arial" w:cs="Arial"/>
        </w:rPr>
        <w:t xml:space="preserve">The PALS and Complaints team </w:t>
      </w:r>
      <w:r w:rsidR="007C348F">
        <w:rPr>
          <w:rFonts w:ascii="Arial" w:hAnsi="Arial" w:cs="Arial"/>
        </w:rPr>
        <w:t>strives</w:t>
      </w:r>
      <w:r w:rsidRPr="00D6070C">
        <w:rPr>
          <w:rFonts w:ascii="Arial" w:hAnsi="Arial" w:cs="Arial"/>
        </w:rPr>
        <w:t xml:space="preserve"> to respond to concerns either </w:t>
      </w:r>
      <w:r w:rsidR="007C348F">
        <w:rPr>
          <w:rFonts w:ascii="Arial" w:hAnsi="Arial" w:cs="Arial"/>
        </w:rPr>
        <w:t>instantly</w:t>
      </w:r>
      <w:r w:rsidRPr="00D6070C">
        <w:rPr>
          <w:rFonts w:ascii="Arial" w:hAnsi="Arial" w:cs="Arial"/>
        </w:rPr>
        <w:t xml:space="preserve"> or within the five-day timeframe in order to try and obtain instant resolution for our patients.   The team </w:t>
      </w:r>
      <w:r w:rsidR="007C348F">
        <w:rPr>
          <w:rFonts w:ascii="Arial" w:hAnsi="Arial" w:cs="Arial"/>
        </w:rPr>
        <w:t>were</w:t>
      </w:r>
      <w:r w:rsidR="00D6070C">
        <w:rPr>
          <w:rFonts w:ascii="Arial" w:hAnsi="Arial" w:cs="Arial"/>
        </w:rPr>
        <w:t xml:space="preserve"> </w:t>
      </w:r>
      <w:r w:rsidRPr="00D6070C">
        <w:rPr>
          <w:rFonts w:ascii="Arial" w:hAnsi="Arial" w:cs="Arial"/>
        </w:rPr>
        <w:t>meeting or excee</w:t>
      </w:r>
      <w:r w:rsidR="00D6070C">
        <w:rPr>
          <w:rFonts w:ascii="Arial" w:hAnsi="Arial" w:cs="Arial"/>
        </w:rPr>
        <w:t xml:space="preserve">ding the KPI of 90% every month, however changes in staffing within the PALs and Complaints team </w:t>
      </w:r>
      <w:r w:rsidR="00A909BB">
        <w:rPr>
          <w:rFonts w:ascii="Arial" w:hAnsi="Arial" w:cs="Arial"/>
        </w:rPr>
        <w:t xml:space="preserve">and delays in producing outcomes from divisional colleagues </w:t>
      </w:r>
      <w:r w:rsidR="00D6070C">
        <w:rPr>
          <w:rFonts w:ascii="Arial" w:hAnsi="Arial" w:cs="Arial"/>
        </w:rPr>
        <w:t xml:space="preserve">during </w:t>
      </w:r>
      <w:r w:rsidR="007C348F">
        <w:rPr>
          <w:rFonts w:ascii="Arial" w:hAnsi="Arial" w:cs="Arial"/>
        </w:rPr>
        <w:t>Q3 and Q4</w:t>
      </w:r>
      <w:r w:rsidR="00D6070C">
        <w:rPr>
          <w:rFonts w:ascii="Arial" w:hAnsi="Arial" w:cs="Arial"/>
        </w:rPr>
        <w:t xml:space="preserve"> have meant that compliance </w:t>
      </w:r>
      <w:r w:rsidR="007C348F">
        <w:rPr>
          <w:rFonts w:ascii="Arial" w:hAnsi="Arial" w:cs="Arial"/>
        </w:rPr>
        <w:t xml:space="preserve">was not </w:t>
      </w:r>
      <w:r w:rsidR="00D6070C">
        <w:rPr>
          <w:rFonts w:ascii="Arial" w:hAnsi="Arial" w:cs="Arial"/>
        </w:rPr>
        <w:t>met.</w:t>
      </w:r>
      <w:r w:rsidR="007C348F">
        <w:rPr>
          <w:rFonts w:ascii="Arial" w:hAnsi="Arial" w:cs="Arial"/>
        </w:rPr>
        <w:t xml:space="preserve">  The team are now fully staffed and it is expected that compliance will be met from April onwards.</w:t>
      </w:r>
    </w:p>
    <w:p w14:paraId="40BEF0A7" w14:textId="77777777" w:rsidR="004540A7" w:rsidRDefault="004540A7" w:rsidP="004540A7">
      <w:pPr>
        <w:pStyle w:val="NoSpacing"/>
        <w:jc w:val="both"/>
      </w:pPr>
    </w:p>
    <w:p w14:paraId="7823050A" w14:textId="77777777" w:rsidR="004540A7" w:rsidRDefault="004540A7" w:rsidP="004540A7">
      <w:pPr>
        <w:pStyle w:val="NoSpacing"/>
        <w:jc w:val="both"/>
        <w:rPr>
          <w:b/>
        </w:rPr>
      </w:pPr>
      <w:r>
        <w:rPr>
          <w:noProof/>
          <w:lang w:eastAsia="en-GB"/>
        </w:rPr>
        <w:lastRenderedPageBreak/>
        <w:drawing>
          <wp:inline distT="0" distB="0" distL="0" distR="0" wp14:anchorId="264E6E3E" wp14:editId="29E803F6">
            <wp:extent cx="6705600" cy="4279900"/>
            <wp:effectExtent l="0" t="0" r="0" b="63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28550AF" w14:textId="77777777" w:rsidR="004540A7" w:rsidRDefault="004540A7" w:rsidP="004540A7">
      <w:pPr>
        <w:pStyle w:val="NoSpacing"/>
        <w:rPr>
          <w:i/>
          <w:sz w:val="20"/>
        </w:rPr>
      </w:pPr>
      <w:r>
        <w:rPr>
          <w:i/>
          <w:sz w:val="20"/>
        </w:rPr>
        <w:t>Trust wide informal concerns performance</w:t>
      </w:r>
    </w:p>
    <w:p w14:paraId="7F7533BE" w14:textId="77777777" w:rsidR="004540A7" w:rsidRDefault="004540A7" w:rsidP="004540A7">
      <w:pPr>
        <w:spacing w:after="0"/>
        <w:jc w:val="both"/>
      </w:pPr>
    </w:p>
    <w:p w14:paraId="4E4F0F10" w14:textId="77777777" w:rsidR="004540A7" w:rsidRPr="00D6070C" w:rsidRDefault="004540A7" w:rsidP="004540A7">
      <w:pPr>
        <w:spacing w:after="0"/>
        <w:rPr>
          <w:sz w:val="22"/>
        </w:rPr>
      </w:pPr>
      <w:r w:rsidRPr="00D6070C">
        <w:rPr>
          <w:sz w:val="22"/>
        </w:rPr>
        <w:t xml:space="preserve">The graph below shows how many concerns were received and responded to immediately.  </w:t>
      </w:r>
    </w:p>
    <w:p w14:paraId="3CC552A3" w14:textId="77777777" w:rsidR="004540A7" w:rsidRDefault="004540A7" w:rsidP="004540A7">
      <w:pPr>
        <w:spacing w:after="0"/>
        <w:rPr>
          <w:b/>
        </w:rPr>
      </w:pPr>
      <w:r>
        <w:rPr>
          <w:noProof/>
          <w:lang w:eastAsia="en-GB"/>
        </w:rPr>
        <w:drawing>
          <wp:inline distT="0" distB="0" distL="0" distR="0" wp14:anchorId="44ECBA20" wp14:editId="1DDC721D">
            <wp:extent cx="6477000" cy="3057525"/>
            <wp:effectExtent l="0" t="0" r="0"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8FFFEC5" w14:textId="77777777" w:rsidR="004540A7" w:rsidRDefault="004540A7" w:rsidP="004540A7">
      <w:pPr>
        <w:spacing w:after="0"/>
        <w:rPr>
          <w:b/>
        </w:rPr>
      </w:pPr>
    </w:p>
    <w:p w14:paraId="0FDDB751" w14:textId="04A354E3" w:rsidR="004540A7" w:rsidRPr="00D6070C" w:rsidRDefault="004540A7" w:rsidP="004540A7">
      <w:pPr>
        <w:spacing w:after="0"/>
        <w:rPr>
          <w:b/>
          <w:sz w:val="22"/>
        </w:rPr>
      </w:pPr>
      <w:r w:rsidRPr="00D6070C">
        <w:rPr>
          <w:b/>
          <w:sz w:val="22"/>
        </w:rPr>
        <w:t xml:space="preserve">Compliments </w:t>
      </w:r>
    </w:p>
    <w:p w14:paraId="47CE59B2" w14:textId="77777777" w:rsidR="004540A7" w:rsidRPr="00D6070C" w:rsidRDefault="004540A7" w:rsidP="004540A7">
      <w:pPr>
        <w:spacing w:after="0"/>
        <w:rPr>
          <w:b/>
          <w:sz w:val="22"/>
        </w:rPr>
      </w:pPr>
    </w:p>
    <w:p w14:paraId="5253CF24" w14:textId="4C4DE0A4" w:rsidR="004540A7" w:rsidRPr="00D6070C" w:rsidRDefault="004540A7" w:rsidP="004540A7">
      <w:pPr>
        <w:spacing w:after="0"/>
        <w:rPr>
          <w:sz w:val="22"/>
        </w:rPr>
      </w:pPr>
      <w:r w:rsidRPr="00D6070C">
        <w:rPr>
          <w:sz w:val="22"/>
        </w:rPr>
        <w:t xml:space="preserve">437 compliments were logged by the PALS team from a patient or their family/representative within Datix during </w:t>
      </w:r>
      <w:r w:rsidR="00716A3A">
        <w:rPr>
          <w:sz w:val="22"/>
        </w:rPr>
        <w:t>2023/24</w:t>
      </w:r>
      <w:r w:rsidRPr="00D6070C">
        <w:rPr>
          <w:sz w:val="22"/>
        </w:rPr>
        <w:t xml:space="preserve"> and a breakdown by Division is shown below:</w:t>
      </w:r>
    </w:p>
    <w:p w14:paraId="743E6ADF" w14:textId="77777777" w:rsidR="004540A7" w:rsidRDefault="004540A7" w:rsidP="004540A7">
      <w:pPr>
        <w:spacing w:after="0"/>
        <w:rPr>
          <w:noProof/>
          <w:lang w:eastAsia="en-GB"/>
        </w:rPr>
      </w:pPr>
    </w:p>
    <w:p w14:paraId="1996E234" w14:textId="77777777" w:rsidR="004540A7" w:rsidRDefault="004540A7" w:rsidP="004540A7">
      <w:pPr>
        <w:spacing w:after="0"/>
      </w:pPr>
      <w:r>
        <w:rPr>
          <w:noProof/>
          <w:lang w:eastAsia="en-GB"/>
        </w:rPr>
        <w:lastRenderedPageBreak/>
        <w:drawing>
          <wp:inline distT="0" distB="0" distL="0" distR="0" wp14:anchorId="38D3BACA" wp14:editId="51F85998">
            <wp:extent cx="6543675" cy="4210050"/>
            <wp:effectExtent l="0" t="0" r="9525"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C709BAA" w14:textId="29660C85" w:rsidR="004540A7" w:rsidRDefault="004540A7" w:rsidP="004540A7">
      <w:pPr>
        <w:spacing w:after="0"/>
        <w:rPr>
          <w:i/>
          <w:sz w:val="20"/>
        </w:rPr>
      </w:pPr>
      <w:r>
        <w:rPr>
          <w:i/>
          <w:sz w:val="20"/>
        </w:rPr>
        <w:t>Fig 8</w:t>
      </w:r>
      <w:r w:rsidRPr="00AF2E67">
        <w:rPr>
          <w:i/>
          <w:sz w:val="20"/>
        </w:rPr>
        <w:t xml:space="preserve">: </w:t>
      </w:r>
      <w:r>
        <w:rPr>
          <w:i/>
          <w:sz w:val="20"/>
        </w:rPr>
        <w:t>Compliments</w:t>
      </w:r>
      <w:r w:rsidRPr="00AF2E67">
        <w:rPr>
          <w:i/>
          <w:sz w:val="20"/>
        </w:rPr>
        <w:t xml:space="preserve"> by </w:t>
      </w:r>
      <w:r w:rsidR="00B670CB">
        <w:rPr>
          <w:i/>
          <w:sz w:val="20"/>
        </w:rPr>
        <w:t>Division and month</w:t>
      </w:r>
      <w:r w:rsidRPr="00AF2E67">
        <w:rPr>
          <w:i/>
          <w:sz w:val="20"/>
        </w:rPr>
        <w:t>,</w:t>
      </w:r>
      <w:r>
        <w:rPr>
          <w:i/>
          <w:sz w:val="20"/>
        </w:rPr>
        <w:t xml:space="preserve"> April 2023-March 2024</w:t>
      </w:r>
    </w:p>
    <w:p w14:paraId="17109A22" w14:textId="77777777" w:rsidR="004540A7" w:rsidRDefault="004540A7" w:rsidP="004540A7">
      <w:pPr>
        <w:spacing w:after="0"/>
      </w:pPr>
    </w:p>
    <w:p w14:paraId="190CBC91" w14:textId="3A69C0D8" w:rsidR="009A0A23" w:rsidRDefault="009A0A23" w:rsidP="009A0A23">
      <w:pPr>
        <w:spacing w:after="200" w:line="276" w:lineRule="auto"/>
        <w:rPr>
          <w:rFonts w:cs="Arial"/>
          <w:noProof/>
          <w:lang w:eastAsia="en-GB"/>
        </w:rPr>
      </w:pPr>
    </w:p>
    <w:p w14:paraId="0617FC82" w14:textId="77777777" w:rsidR="009F0433" w:rsidRPr="009A0A23" w:rsidRDefault="009F0433" w:rsidP="009A0A23">
      <w:pPr>
        <w:spacing w:after="200" w:line="276" w:lineRule="auto"/>
        <w:rPr>
          <w:rFonts w:cs="Arial"/>
          <w:noProof/>
          <w:lang w:eastAsia="en-GB"/>
        </w:rPr>
      </w:pPr>
    </w:p>
    <w:sectPr w:rsidR="009F0433" w:rsidRPr="009A0A23" w:rsidSect="00BC7091">
      <w:pgSz w:w="11906" w:h="16838"/>
      <w:pgMar w:top="1134" w:right="1134" w:bottom="1418" w:left="1134" w:header="567" w:footer="851"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EE4986" w14:textId="77777777" w:rsidR="00BA1622" w:rsidRDefault="00BA1622" w:rsidP="00551530">
      <w:pPr>
        <w:spacing w:after="0"/>
      </w:pPr>
      <w:r>
        <w:separator/>
      </w:r>
    </w:p>
  </w:endnote>
  <w:endnote w:type="continuationSeparator" w:id="0">
    <w:p w14:paraId="11587999" w14:textId="77777777" w:rsidR="00BA1622" w:rsidRDefault="00BA1622" w:rsidP="005515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22742" w14:textId="745EA1B0" w:rsidR="00BA1622" w:rsidRPr="004540A7" w:rsidRDefault="00BA1622" w:rsidP="005F0835">
    <w:pPr>
      <w:tabs>
        <w:tab w:val="right" w:pos="9639"/>
      </w:tabs>
      <w:rPr>
        <w:rFonts w:cs="Arial"/>
        <w:sz w:val="22"/>
      </w:rPr>
    </w:pPr>
    <w:r w:rsidRPr="004540A7">
      <w:rPr>
        <w:rFonts w:cs="Arial"/>
        <w:sz w:val="22"/>
      </w:rPr>
      <w:t>Patient Experience Annual Report 2023-24</w:t>
    </w:r>
    <w:r w:rsidRPr="004540A7">
      <w:rPr>
        <w:rFonts w:cs="Arial"/>
        <w:sz w:val="22"/>
      </w:rPr>
      <w:tab/>
      <w:t xml:space="preserve">Page </w:t>
    </w:r>
    <w:r w:rsidRPr="004540A7">
      <w:rPr>
        <w:rFonts w:cs="Arial"/>
        <w:sz w:val="22"/>
      </w:rPr>
      <w:fldChar w:fldCharType="begin"/>
    </w:r>
    <w:r w:rsidRPr="004540A7">
      <w:rPr>
        <w:rFonts w:cs="Arial"/>
        <w:sz w:val="22"/>
      </w:rPr>
      <w:instrText xml:space="preserve"> PAGE </w:instrText>
    </w:r>
    <w:r w:rsidRPr="004540A7">
      <w:rPr>
        <w:rFonts w:cs="Arial"/>
        <w:sz w:val="22"/>
      </w:rPr>
      <w:fldChar w:fldCharType="separate"/>
    </w:r>
    <w:r w:rsidR="00C262DB">
      <w:rPr>
        <w:rFonts w:cs="Arial"/>
        <w:noProof/>
        <w:sz w:val="22"/>
      </w:rPr>
      <w:t>2</w:t>
    </w:r>
    <w:r w:rsidRPr="004540A7">
      <w:rPr>
        <w:rFonts w:cs="Arial"/>
        <w:noProof/>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1BE93" w14:textId="77777777" w:rsidR="00BA1622" w:rsidRDefault="00BA1622" w:rsidP="009504A4">
    <w:pPr>
      <w:pStyle w:val="Footer"/>
    </w:pPr>
  </w:p>
  <w:p w14:paraId="04C8CAFF" w14:textId="70C20516" w:rsidR="00BA1622" w:rsidRDefault="00BA1622" w:rsidP="009504A4">
    <w:pPr>
      <w:pStyle w:val="Footer"/>
    </w:pPr>
  </w:p>
  <w:p w14:paraId="262057F4" w14:textId="77777777" w:rsidR="00BA1622" w:rsidRDefault="00BA1622" w:rsidP="009504A4">
    <w:pPr>
      <w:pStyle w:val="Footer"/>
    </w:pPr>
  </w:p>
  <w:p w14:paraId="41DAF1C6" w14:textId="77777777" w:rsidR="00BA1622" w:rsidRDefault="00BA1622" w:rsidP="009504A4">
    <w:pPr>
      <w:pStyle w:val="Footer"/>
    </w:pPr>
  </w:p>
  <w:p w14:paraId="4D78F9BE" w14:textId="77777777" w:rsidR="00BA1622" w:rsidRDefault="00BA16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5E3E62" w14:textId="77777777" w:rsidR="00BA1622" w:rsidRDefault="00BA1622" w:rsidP="00551530">
      <w:pPr>
        <w:spacing w:after="0"/>
      </w:pPr>
      <w:r>
        <w:separator/>
      </w:r>
    </w:p>
  </w:footnote>
  <w:footnote w:type="continuationSeparator" w:id="0">
    <w:p w14:paraId="36B4CE2A" w14:textId="77777777" w:rsidR="00BA1622" w:rsidRDefault="00BA1622" w:rsidP="0055153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47967" w14:textId="01407435" w:rsidR="00BA1622" w:rsidRDefault="00BA1622" w:rsidP="009504A4">
    <w:pPr>
      <w:pStyle w:val="Header"/>
      <w:rPr>
        <w:rFonts w:ascii="Tahoma" w:hAnsi="Tahoma"/>
        <w:sz w:val="20"/>
      </w:rPr>
    </w:pPr>
  </w:p>
  <w:p w14:paraId="2D32260E" w14:textId="77777777" w:rsidR="00BA1622" w:rsidRDefault="00BA1622" w:rsidP="009504A4">
    <w:pPr>
      <w:pStyle w:val="Header"/>
      <w:rPr>
        <w:rFonts w:ascii="Tahoma" w:hAnsi="Tahoma"/>
        <w:sz w:val="20"/>
      </w:rPr>
    </w:pPr>
  </w:p>
  <w:p w14:paraId="77EAC56B" w14:textId="77777777" w:rsidR="00BA1622" w:rsidRDefault="00BA1622" w:rsidP="009504A4">
    <w:pPr>
      <w:pStyle w:val="Header"/>
      <w:rPr>
        <w:rFonts w:ascii="Tahoma" w:hAnsi="Tahoma"/>
        <w:sz w:val="20"/>
      </w:rPr>
    </w:pPr>
  </w:p>
  <w:p w14:paraId="04A48E04" w14:textId="77777777" w:rsidR="00BA1622" w:rsidRDefault="00BA1622" w:rsidP="009504A4">
    <w:pPr>
      <w:pStyle w:val="Header"/>
      <w:rPr>
        <w:rFonts w:ascii="Tahoma" w:hAnsi="Tahoma"/>
        <w:sz w:val="20"/>
      </w:rPr>
    </w:pPr>
  </w:p>
  <w:p w14:paraId="37E8D18C" w14:textId="77777777" w:rsidR="00BA1622" w:rsidRDefault="00BA1622" w:rsidP="009504A4">
    <w:pPr>
      <w:pStyle w:val="Header"/>
      <w:rPr>
        <w:rFonts w:ascii="Tahoma" w:hAnsi="Tahoma"/>
        <w:sz w:val="20"/>
      </w:rPr>
    </w:pPr>
  </w:p>
  <w:p w14:paraId="053B8CFB" w14:textId="7E21D3BA" w:rsidR="00BA1622" w:rsidRPr="009504A4" w:rsidRDefault="00BA1622" w:rsidP="00C262DB">
    <w:pPr>
      <w:pStyle w:val="Header"/>
      <w:tabs>
        <w:tab w:val="clear" w:pos="8640"/>
        <w:tab w:val="right" w:pos="11340"/>
      </w:tabs>
      <w:rPr>
        <w:rFonts w:ascii="Tahoma" w:hAnsi="Tahoma"/>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91C19"/>
    <w:multiLevelType w:val="hybridMultilevel"/>
    <w:tmpl w:val="25D4B908"/>
    <w:lvl w:ilvl="0" w:tplc="3760BDF0">
      <w:start w:val="15"/>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7F53952"/>
    <w:multiLevelType w:val="hybridMultilevel"/>
    <w:tmpl w:val="68F88012"/>
    <w:lvl w:ilvl="0" w:tplc="2CF876A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756712"/>
    <w:multiLevelType w:val="hybridMultilevel"/>
    <w:tmpl w:val="7E4492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D8315C5"/>
    <w:multiLevelType w:val="hybridMultilevel"/>
    <w:tmpl w:val="9078E7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07E519B"/>
    <w:multiLevelType w:val="multilevel"/>
    <w:tmpl w:val="13F27340"/>
    <w:styleLink w:val="CurrentList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5F4593D"/>
    <w:multiLevelType w:val="hybridMultilevel"/>
    <w:tmpl w:val="591AA0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E170BC3"/>
    <w:multiLevelType w:val="hybridMultilevel"/>
    <w:tmpl w:val="427845D2"/>
    <w:lvl w:ilvl="0" w:tplc="ED8817CE">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6F26EF"/>
    <w:multiLevelType w:val="hybridMultilevel"/>
    <w:tmpl w:val="0C58CE74"/>
    <w:lvl w:ilvl="0" w:tplc="87822F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120302"/>
    <w:multiLevelType w:val="hybridMultilevel"/>
    <w:tmpl w:val="EA86DF5E"/>
    <w:lvl w:ilvl="0" w:tplc="660A1368">
      <w:start w:val="202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3E04E3"/>
    <w:multiLevelType w:val="hybridMultilevel"/>
    <w:tmpl w:val="0A2480C4"/>
    <w:lvl w:ilvl="0" w:tplc="1A6858DE">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DC4E26"/>
    <w:multiLevelType w:val="hybridMultilevel"/>
    <w:tmpl w:val="987EC810"/>
    <w:lvl w:ilvl="0" w:tplc="87822F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3D33D1"/>
    <w:multiLevelType w:val="hybridMultilevel"/>
    <w:tmpl w:val="116C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9F565B"/>
    <w:multiLevelType w:val="multilevel"/>
    <w:tmpl w:val="13F27340"/>
    <w:styleLink w:val="CurrentList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2"/>
  </w:num>
  <w:num w:numId="4">
    <w:abstractNumId w:val="11"/>
  </w:num>
  <w:num w:numId="5">
    <w:abstractNumId w:val="8"/>
  </w:num>
  <w:num w:numId="6">
    <w:abstractNumId w:val="1"/>
  </w:num>
  <w:num w:numId="7">
    <w:abstractNumId w:val="7"/>
  </w:num>
  <w:num w:numId="8">
    <w:abstractNumId w:val="0"/>
  </w:num>
  <w:num w:numId="9">
    <w:abstractNumId w:val="10"/>
  </w:num>
  <w:num w:numId="10">
    <w:abstractNumId w:val="5"/>
  </w:num>
  <w:num w:numId="11">
    <w:abstractNumId w:val="2"/>
  </w:num>
  <w:num w:numId="12">
    <w:abstractNumId w:val="3"/>
  </w:num>
  <w:num w:numId="13">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530"/>
    <w:rsid w:val="0000262E"/>
    <w:rsid w:val="00002AB5"/>
    <w:rsid w:val="00004587"/>
    <w:rsid w:val="00005136"/>
    <w:rsid w:val="000058C3"/>
    <w:rsid w:val="00010A7B"/>
    <w:rsid w:val="0001155D"/>
    <w:rsid w:val="000117B5"/>
    <w:rsid w:val="00011924"/>
    <w:rsid w:val="00037D0B"/>
    <w:rsid w:val="00040042"/>
    <w:rsid w:val="00040886"/>
    <w:rsid w:val="0004147E"/>
    <w:rsid w:val="0004215E"/>
    <w:rsid w:val="00042845"/>
    <w:rsid w:val="000465BE"/>
    <w:rsid w:val="000500D4"/>
    <w:rsid w:val="00050EFF"/>
    <w:rsid w:val="00053244"/>
    <w:rsid w:val="00055E85"/>
    <w:rsid w:val="000612A1"/>
    <w:rsid w:val="00062BF2"/>
    <w:rsid w:val="000646F0"/>
    <w:rsid w:val="00064BC1"/>
    <w:rsid w:val="00065726"/>
    <w:rsid w:val="00084076"/>
    <w:rsid w:val="000915B9"/>
    <w:rsid w:val="000A0F47"/>
    <w:rsid w:val="000A23AE"/>
    <w:rsid w:val="000A7A15"/>
    <w:rsid w:val="000B13CA"/>
    <w:rsid w:val="000B7798"/>
    <w:rsid w:val="000C1079"/>
    <w:rsid w:val="000C3970"/>
    <w:rsid w:val="000C5740"/>
    <w:rsid w:val="000D0561"/>
    <w:rsid w:val="000D0914"/>
    <w:rsid w:val="000D3D0B"/>
    <w:rsid w:val="000D476B"/>
    <w:rsid w:val="000E2E0F"/>
    <w:rsid w:val="000E47F8"/>
    <w:rsid w:val="000E5406"/>
    <w:rsid w:val="000E57A1"/>
    <w:rsid w:val="000E6383"/>
    <w:rsid w:val="000F1530"/>
    <w:rsid w:val="000F542D"/>
    <w:rsid w:val="001039C1"/>
    <w:rsid w:val="00103FA5"/>
    <w:rsid w:val="001046F4"/>
    <w:rsid w:val="00104FA2"/>
    <w:rsid w:val="00105620"/>
    <w:rsid w:val="0010573B"/>
    <w:rsid w:val="001069D0"/>
    <w:rsid w:val="00110A15"/>
    <w:rsid w:val="001179CE"/>
    <w:rsid w:val="00123A6F"/>
    <w:rsid w:val="00123F6D"/>
    <w:rsid w:val="001245E2"/>
    <w:rsid w:val="001247C0"/>
    <w:rsid w:val="00133727"/>
    <w:rsid w:val="00134192"/>
    <w:rsid w:val="001361E5"/>
    <w:rsid w:val="001372F9"/>
    <w:rsid w:val="001401C9"/>
    <w:rsid w:val="00144328"/>
    <w:rsid w:val="001514A4"/>
    <w:rsid w:val="001536B4"/>
    <w:rsid w:val="00154570"/>
    <w:rsid w:val="001652F4"/>
    <w:rsid w:val="0017646F"/>
    <w:rsid w:val="00191166"/>
    <w:rsid w:val="00192924"/>
    <w:rsid w:val="001959C5"/>
    <w:rsid w:val="001A0AAF"/>
    <w:rsid w:val="001A2919"/>
    <w:rsid w:val="001A633A"/>
    <w:rsid w:val="001B0038"/>
    <w:rsid w:val="001D04E3"/>
    <w:rsid w:val="001D1784"/>
    <w:rsid w:val="001D28BC"/>
    <w:rsid w:val="001D4C7E"/>
    <w:rsid w:val="001E52FC"/>
    <w:rsid w:val="001E5C01"/>
    <w:rsid w:val="001F2C6B"/>
    <w:rsid w:val="001F391D"/>
    <w:rsid w:val="001F3BBB"/>
    <w:rsid w:val="001F6AEC"/>
    <w:rsid w:val="00200CA0"/>
    <w:rsid w:val="00201C5B"/>
    <w:rsid w:val="00210E80"/>
    <w:rsid w:val="00215AAF"/>
    <w:rsid w:val="00217F46"/>
    <w:rsid w:val="0022116A"/>
    <w:rsid w:val="00227D0F"/>
    <w:rsid w:val="0023097C"/>
    <w:rsid w:val="002334C4"/>
    <w:rsid w:val="00233D57"/>
    <w:rsid w:val="002361F5"/>
    <w:rsid w:val="002363CE"/>
    <w:rsid w:val="002379E3"/>
    <w:rsid w:val="002379EF"/>
    <w:rsid w:val="00241692"/>
    <w:rsid w:val="00242478"/>
    <w:rsid w:val="002430C3"/>
    <w:rsid w:val="00243D96"/>
    <w:rsid w:val="00250EBE"/>
    <w:rsid w:val="002565F1"/>
    <w:rsid w:val="00267E74"/>
    <w:rsid w:val="002701F4"/>
    <w:rsid w:val="00276F22"/>
    <w:rsid w:val="00277ADC"/>
    <w:rsid w:val="0028197E"/>
    <w:rsid w:val="0028509F"/>
    <w:rsid w:val="00285FE3"/>
    <w:rsid w:val="00290193"/>
    <w:rsid w:val="002914E5"/>
    <w:rsid w:val="0029170D"/>
    <w:rsid w:val="00293375"/>
    <w:rsid w:val="00297F9A"/>
    <w:rsid w:val="002A67BA"/>
    <w:rsid w:val="002A7A42"/>
    <w:rsid w:val="002B1F93"/>
    <w:rsid w:val="002B41A4"/>
    <w:rsid w:val="002B4C03"/>
    <w:rsid w:val="002C0F2A"/>
    <w:rsid w:val="002C2CD8"/>
    <w:rsid w:val="002D1C7E"/>
    <w:rsid w:val="002D3906"/>
    <w:rsid w:val="002D6DEA"/>
    <w:rsid w:val="002E181A"/>
    <w:rsid w:val="002E7A4B"/>
    <w:rsid w:val="002F0AE0"/>
    <w:rsid w:val="002F0E65"/>
    <w:rsid w:val="002F78EF"/>
    <w:rsid w:val="002F7EB8"/>
    <w:rsid w:val="00302CD6"/>
    <w:rsid w:val="003037EE"/>
    <w:rsid w:val="00307AFF"/>
    <w:rsid w:val="00314105"/>
    <w:rsid w:val="003147F0"/>
    <w:rsid w:val="003172E5"/>
    <w:rsid w:val="00322B11"/>
    <w:rsid w:val="003329D4"/>
    <w:rsid w:val="00343DC7"/>
    <w:rsid w:val="00346836"/>
    <w:rsid w:val="003559F6"/>
    <w:rsid w:val="00355D8E"/>
    <w:rsid w:val="00356E7A"/>
    <w:rsid w:val="0035766C"/>
    <w:rsid w:val="003655BF"/>
    <w:rsid w:val="003672AD"/>
    <w:rsid w:val="0037499A"/>
    <w:rsid w:val="0037606B"/>
    <w:rsid w:val="00386EA6"/>
    <w:rsid w:val="003872AF"/>
    <w:rsid w:val="003877BC"/>
    <w:rsid w:val="00387FD4"/>
    <w:rsid w:val="003979E5"/>
    <w:rsid w:val="003A20A0"/>
    <w:rsid w:val="003A6501"/>
    <w:rsid w:val="003B42C7"/>
    <w:rsid w:val="003C0517"/>
    <w:rsid w:val="003C09DC"/>
    <w:rsid w:val="003C1263"/>
    <w:rsid w:val="003C1B73"/>
    <w:rsid w:val="003C36BA"/>
    <w:rsid w:val="003C3D3E"/>
    <w:rsid w:val="003D1F59"/>
    <w:rsid w:val="003D301B"/>
    <w:rsid w:val="003D41FC"/>
    <w:rsid w:val="003E2C19"/>
    <w:rsid w:val="003E6A69"/>
    <w:rsid w:val="003E74CF"/>
    <w:rsid w:val="003F14E7"/>
    <w:rsid w:val="003F3A84"/>
    <w:rsid w:val="003F3CC3"/>
    <w:rsid w:val="003F5F38"/>
    <w:rsid w:val="00402AA4"/>
    <w:rsid w:val="00403F3A"/>
    <w:rsid w:val="004044FC"/>
    <w:rsid w:val="00405EEC"/>
    <w:rsid w:val="00405F60"/>
    <w:rsid w:val="0040661E"/>
    <w:rsid w:val="00407A01"/>
    <w:rsid w:val="00410C6E"/>
    <w:rsid w:val="004117A2"/>
    <w:rsid w:val="00413156"/>
    <w:rsid w:val="0041681C"/>
    <w:rsid w:val="00417445"/>
    <w:rsid w:val="00420305"/>
    <w:rsid w:val="00423440"/>
    <w:rsid w:val="00424199"/>
    <w:rsid w:val="00425C84"/>
    <w:rsid w:val="0043188A"/>
    <w:rsid w:val="0043448F"/>
    <w:rsid w:val="00442A7D"/>
    <w:rsid w:val="00450056"/>
    <w:rsid w:val="004514BC"/>
    <w:rsid w:val="004540A7"/>
    <w:rsid w:val="004576D3"/>
    <w:rsid w:val="00461304"/>
    <w:rsid w:val="004627C9"/>
    <w:rsid w:val="00463E04"/>
    <w:rsid w:val="0046443F"/>
    <w:rsid w:val="00464A67"/>
    <w:rsid w:val="00465782"/>
    <w:rsid w:val="004659EC"/>
    <w:rsid w:val="004667C5"/>
    <w:rsid w:val="0047213C"/>
    <w:rsid w:val="004726AF"/>
    <w:rsid w:val="00475437"/>
    <w:rsid w:val="00475981"/>
    <w:rsid w:val="00485276"/>
    <w:rsid w:val="00494372"/>
    <w:rsid w:val="00497D7D"/>
    <w:rsid w:val="004A4748"/>
    <w:rsid w:val="004A6B05"/>
    <w:rsid w:val="004B25F4"/>
    <w:rsid w:val="004B328D"/>
    <w:rsid w:val="004B53A9"/>
    <w:rsid w:val="004C31D6"/>
    <w:rsid w:val="004C6431"/>
    <w:rsid w:val="004D0368"/>
    <w:rsid w:val="004D0925"/>
    <w:rsid w:val="004D13BA"/>
    <w:rsid w:val="004D1676"/>
    <w:rsid w:val="004D2BC7"/>
    <w:rsid w:val="004E03BF"/>
    <w:rsid w:val="004E241C"/>
    <w:rsid w:val="004E6B36"/>
    <w:rsid w:val="004F6A88"/>
    <w:rsid w:val="005006AC"/>
    <w:rsid w:val="005024A1"/>
    <w:rsid w:val="00503E65"/>
    <w:rsid w:val="00510D17"/>
    <w:rsid w:val="00512CF6"/>
    <w:rsid w:val="005169CD"/>
    <w:rsid w:val="00517D7F"/>
    <w:rsid w:val="005302D7"/>
    <w:rsid w:val="00532915"/>
    <w:rsid w:val="00536EB1"/>
    <w:rsid w:val="0054442E"/>
    <w:rsid w:val="00547F6B"/>
    <w:rsid w:val="00550BDD"/>
    <w:rsid w:val="00550C93"/>
    <w:rsid w:val="0055135E"/>
    <w:rsid w:val="00551530"/>
    <w:rsid w:val="00556CFB"/>
    <w:rsid w:val="005612CC"/>
    <w:rsid w:val="005621E2"/>
    <w:rsid w:val="00563A84"/>
    <w:rsid w:val="00564A72"/>
    <w:rsid w:val="00574598"/>
    <w:rsid w:val="00574A7D"/>
    <w:rsid w:val="00574CAF"/>
    <w:rsid w:val="0058431C"/>
    <w:rsid w:val="00585437"/>
    <w:rsid w:val="00587941"/>
    <w:rsid w:val="00596437"/>
    <w:rsid w:val="00596445"/>
    <w:rsid w:val="005A041D"/>
    <w:rsid w:val="005A1D70"/>
    <w:rsid w:val="005A5E00"/>
    <w:rsid w:val="005B0DBA"/>
    <w:rsid w:val="005B4E2B"/>
    <w:rsid w:val="005D1C76"/>
    <w:rsid w:val="005E364E"/>
    <w:rsid w:val="005E3B88"/>
    <w:rsid w:val="005E6078"/>
    <w:rsid w:val="005F0835"/>
    <w:rsid w:val="005F0AC3"/>
    <w:rsid w:val="005F29DA"/>
    <w:rsid w:val="005F723E"/>
    <w:rsid w:val="00602A02"/>
    <w:rsid w:val="00605D9F"/>
    <w:rsid w:val="006065D2"/>
    <w:rsid w:val="00612823"/>
    <w:rsid w:val="00620805"/>
    <w:rsid w:val="00622805"/>
    <w:rsid w:val="00622BA4"/>
    <w:rsid w:val="00623196"/>
    <w:rsid w:val="00626747"/>
    <w:rsid w:val="0063111B"/>
    <w:rsid w:val="0064581D"/>
    <w:rsid w:val="0065130F"/>
    <w:rsid w:val="00655BAF"/>
    <w:rsid w:val="006623CE"/>
    <w:rsid w:val="00665CDC"/>
    <w:rsid w:val="00665DF3"/>
    <w:rsid w:val="006679B9"/>
    <w:rsid w:val="00670F29"/>
    <w:rsid w:val="00672206"/>
    <w:rsid w:val="00672943"/>
    <w:rsid w:val="006852A7"/>
    <w:rsid w:val="006B36D8"/>
    <w:rsid w:val="006C1A65"/>
    <w:rsid w:val="006C3E7A"/>
    <w:rsid w:val="006C3F1F"/>
    <w:rsid w:val="006C4F0A"/>
    <w:rsid w:val="006D1687"/>
    <w:rsid w:val="006D3BAF"/>
    <w:rsid w:val="006D4504"/>
    <w:rsid w:val="006D684E"/>
    <w:rsid w:val="006E02F5"/>
    <w:rsid w:val="006E0460"/>
    <w:rsid w:val="006E362F"/>
    <w:rsid w:val="006E3AB8"/>
    <w:rsid w:val="006E6DE0"/>
    <w:rsid w:val="006F003B"/>
    <w:rsid w:val="006F0DFF"/>
    <w:rsid w:val="006F3194"/>
    <w:rsid w:val="0070316B"/>
    <w:rsid w:val="0070790A"/>
    <w:rsid w:val="00713AB5"/>
    <w:rsid w:val="00716A3A"/>
    <w:rsid w:val="0071702C"/>
    <w:rsid w:val="00722603"/>
    <w:rsid w:val="00723484"/>
    <w:rsid w:val="007306F9"/>
    <w:rsid w:val="00731730"/>
    <w:rsid w:val="00737E84"/>
    <w:rsid w:val="00737FD0"/>
    <w:rsid w:val="00750C4C"/>
    <w:rsid w:val="00750C71"/>
    <w:rsid w:val="0075157D"/>
    <w:rsid w:val="0076051F"/>
    <w:rsid w:val="00764334"/>
    <w:rsid w:val="00764BC3"/>
    <w:rsid w:val="007670C1"/>
    <w:rsid w:val="00771132"/>
    <w:rsid w:val="007751AD"/>
    <w:rsid w:val="007778CB"/>
    <w:rsid w:val="007862D3"/>
    <w:rsid w:val="007914EF"/>
    <w:rsid w:val="0079173D"/>
    <w:rsid w:val="00791D18"/>
    <w:rsid w:val="0079311D"/>
    <w:rsid w:val="00794443"/>
    <w:rsid w:val="007961FB"/>
    <w:rsid w:val="00796515"/>
    <w:rsid w:val="007A0C23"/>
    <w:rsid w:val="007A2AD0"/>
    <w:rsid w:val="007A3920"/>
    <w:rsid w:val="007A4DB8"/>
    <w:rsid w:val="007A57C6"/>
    <w:rsid w:val="007B3D75"/>
    <w:rsid w:val="007B4E0E"/>
    <w:rsid w:val="007B54F6"/>
    <w:rsid w:val="007C17A1"/>
    <w:rsid w:val="007C1991"/>
    <w:rsid w:val="007C2AF9"/>
    <w:rsid w:val="007C329D"/>
    <w:rsid w:val="007C348F"/>
    <w:rsid w:val="007C4076"/>
    <w:rsid w:val="007C4318"/>
    <w:rsid w:val="007D02D0"/>
    <w:rsid w:val="007D76F5"/>
    <w:rsid w:val="007E076B"/>
    <w:rsid w:val="007E1CF1"/>
    <w:rsid w:val="007E5235"/>
    <w:rsid w:val="007E52FE"/>
    <w:rsid w:val="007F3C4D"/>
    <w:rsid w:val="007F41EE"/>
    <w:rsid w:val="007F4D40"/>
    <w:rsid w:val="007F6492"/>
    <w:rsid w:val="007F6BF6"/>
    <w:rsid w:val="00802376"/>
    <w:rsid w:val="00806A57"/>
    <w:rsid w:val="00811258"/>
    <w:rsid w:val="00812DCA"/>
    <w:rsid w:val="008151D1"/>
    <w:rsid w:val="008179E7"/>
    <w:rsid w:val="0082070B"/>
    <w:rsid w:val="00822A0C"/>
    <w:rsid w:val="00822E2D"/>
    <w:rsid w:val="0082707E"/>
    <w:rsid w:val="008274E5"/>
    <w:rsid w:val="008317BA"/>
    <w:rsid w:val="00832FFE"/>
    <w:rsid w:val="008363A3"/>
    <w:rsid w:val="00837D51"/>
    <w:rsid w:val="00840CB9"/>
    <w:rsid w:val="00841A61"/>
    <w:rsid w:val="00847F61"/>
    <w:rsid w:val="008502FC"/>
    <w:rsid w:val="0085245C"/>
    <w:rsid w:val="008572FE"/>
    <w:rsid w:val="00857B3B"/>
    <w:rsid w:val="00863A0A"/>
    <w:rsid w:val="008668F7"/>
    <w:rsid w:val="008677AA"/>
    <w:rsid w:val="00871721"/>
    <w:rsid w:val="00873E0C"/>
    <w:rsid w:val="00873E6E"/>
    <w:rsid w:val="00877A60"/>
    <w:rsid w:val="00887C7D"/>
    <w:rsid w:val="00887CDE"/>
    <w:rsid w:val="0089131D"/>
    <w:rsid w:val="00895B28"/>
    <w:rsid w:val="00897247"/>
    <w:rsid w:val="00897848"/>
    <w:rsid w:val="008A1D4C"/>
    <w:rsid w:val="008A2C5F"/>
    <w:rsid w:val="008A59A3"/>
    <w:rsid w:val="008A5FA1"/>
    <w:rsid w:val="008B2AEE"/>
    <w:rsid w:val="008C3AC3"/>
    <w:rsid w:val="008C3B73"/>
    <w:rsid w:val="008C6EEB"/>
    <w:rsid w:val="008D0818"/>
    <w:rsid w:val="008D202A"/>
    <w:rsid w:val="008D5474"/>
    <w:rsid w:val="008E32D7"/>
    <w:rsid w:val="008E48FD"/>
    <w:rsid w:val="008E4998"/>
    <w:rsid w:val="008F1BD9"/>
    <w:rsid w:val="008F32F2"/>
    <w:rsid w:val="008F37B3"/>
    <w:rsid w:val="008F38E3"/>
    <w:rsid w:val="009031EB"/>
    <w:rsid w:val="00906629"/>
    <w:rsid w:val="00912F47"/>
    <w:rsid w:val="0092087B"/>
    <w:rsid w:val="00923024"/>
    <w:rsid w:val="00925D43"/>
    <w:rsid w:val="009331D0"/>
    <w:rsid w:val="00933259"/>
    <w:rsid w:val="009346B6"/>
    <w:rsid w:val="00940E17"/>
    <w:rsid w:val="00943DF2"/>
    <w:rsid w:val="00944916"/>
    <w:rsid w:val="00945034"/>
    <w:rsid w:val="009504A4"/>
    <w:rsid w:val="0095057B"/>
    <w:rsid w:val="00951A14"/>
    <w:rsid w:val="00963984"/>
    <w:rsid w:val="0096666E"/>
    <w:rsid w:val="00975BA8"/>
    <w:rsid w:val="009768C5"/>
    <w:rsid w:val="0097772A"/>
    <w:rsid w:val="0098074B"/>
    <w:rsid w:val="0098270D"/>
    <w:rsid w:val="00985031"/>
    <w:rsid w:val="00985044"/>
    <w:rsid w:val="00987C1A"/>
    <w:rsid w:val="0099228B"/>
    <w:rsid w:val="009953F7"/>
    <w:rsid w:val="009A06C1"/>
    <w:rsid w:val="009A0A23"/>
    <w:rsid w:val="009A32E6"/>
    <w:rsid w:val="009A7038"/>
    <w:rsid w:val="009A7879"/>
    <w:rsid w:val="009B2445"/>
    <w:rsid w:val="009B3B61"/>
    <w:rsid w:val="009B4BA3"/>
    <w:rsid w:val="009C1E29"/>
    <w:rsid w:val="009D0561"/>
    <w:rsid w:val="009D07AC"/>
    <w:rsid w:val="009D10F3"/>
    <w:rsid w:val="009D4985"/>
    <w:rsid w:val="009D71C2"/>
    <w:rsid w:val="009E2BB5"/>
    <w:rsid w:val="009E4D9F"/>
    <w:rsid w:val="009E5D8B"/>
    <w:rsid w:val="009E737D"/>
    <w:rsid w:val="009E7BA5"/>
    <w:rsid w:val="009E7E80"/>
    <w:rsid w:val="009F0433"/>
    <w:rsid w:val="009F19DA"/>
    <w:rsid w:val="009F26C2"/>
    <w:rsid w:val="009F5720"/>
    <w:rsid w:val="009F69D5"/>
    <w:rsid w:val="00A019F7"/>
    <w:rsid w:val="00A07042"/>
    <w:rsid w:val="00A119DE"/>
    <w:rsid w:val="00A154B4"/>
    <w:rsid w:val="00A17FFB"/>
    <w:rsid w:val="00A22093"/>
    <w:rsid w:val="00A223A1"/>
    <w:rsid w:val="00A262CB"/>
    <w:rsid w:val="00A27B37"/>
    <w:rsid w:val="00A31A13"/>
    <w:rsid w:val="00A32A41"/>
    <w:rsid w:val="00A3619E"/>
    <w:rsid w:val="00A41E17"/>
    <w:rsid w:val="00A4345C"/>
    <w:rsid w:val="00A43633"/>
    <w:rsid w:val="00A43EEE"/>
    <w:rsid w:val="00A518A9"/>
    <w:rsid w:val="00A57A6E"/>
    <w:rsid w:val="00A602B3"/>
    <w:rsid w:val="00A729D4"/>
    <w:rsid w:val="00A73879"/>
    <w:rsid w:val="00A81992"/>
    <w:rsid w:val="00A85865"/>
    <w:rsid w:val="00A85D74"/>
    <w:rsid w:val="00A909BB"/>
    <w:rsid w:val="00A95E2C"/>
    <w:rsid w:val="00A969EE"/>
    <w:rsid w:val="00AA31DA"/>
    <w:rsid w:val="00AA32E8"/>
    <w:rsid w:val="00AA3B95"/>
    <w:rsid w:val="00AA7287"/>
    <w:rsid w:val="00AB2BE6"/>
    <w:rsid w:val="00AB55F5"/>
    <w:rsid w:val="00AB5D55"/>
    <w:rsid w:val="00AB63B2"/>
    <w:rsid w:val="00AB6AE4"/>
    <w:rsid w:val="00AC64E9"/>
    <w:rsid w:val="00AD27B1"/>
    <w:rsid w:val="00AD4264"/>
    <w:rsid w:val="00AD5B9D"/>
    <w:rsid w:val="00AD63E7"/>
    <w:rsid w:val="00AE38BA"/>
    <w:rsid w:val="00AE38E7"/>
    <w:rsid w:val="00AF3EBD"/>
    <w:rsid w:val="00AF5090"/>
    <w:rsid w:val="00AF5F44"/>
    <w:rsid w:val="00AF7DF1"/>
    <w:rsid w:val="00B076EB"/>
    <w:rsid w:val="00B10284"/>
    <w:rsid w:val="00B115F5"/>
    <w:rsid w:val="00B428A2"/>
    <w:rsid w:val="00B51087"/>
    <w:rsid w:val="00B6124E"/>
    <w:rsid w:val="00B64379"/>
    <w:rsid w:val="00B65299"/>
    <w:rsid w:val="00B670CB"/>
    <w:rsid w:val="00B72BEB"/>
    <w:rsid w:val="00B73D91"/>
    <w:rsid w:val="00B74BBE"/>
    <w:rsid w:val="00B754E7"/>
    <w:rsid w:val="00B7574A"/>
    <w:rsid w:val="00B7617F"/>
    <w:rsid w:val="00B763D2"/>
    <w:rsid w:val="00B77D7B"/>
    <w:rsid w:val="00B812EA"/>
    <w:rsid w:val="00B81699"/>
    <w:rsid w:val="00B848FD"/>
    <w:rsid w:val="00B86AD8"/>
    <w:rsid w:val="00B87FD1"/>
    <w:rsid w:val="00B91BC5"/>
    <w:rsid w:val="00B96A51"/>
    <w:rsid w:val="00BA1622"/>
    <w:rsid w:val="00BA2274"/>
    <w:rsid w:val="00BA413D"/>
    <w:rsid w:val="00BB0255"/>
    <w:rsid w:val="00BB2010"/>
    <w:rsid w:val="00BB5879"/>
    <w:rsid w:val="00BB5AE1"/>
    <w:rsid w:val="00BB7A01"/>
    <w:rsid w:val="00BC6D40"/>
    <w:rsid w:val="00BC7091"/>
    <w:rsid w:val="00BC7960"/>
    <w:rsid w:val="00BD4A96"/>
    <w:rsid w:val="00BD65E5"/>
    <w:rsid w:val="00BE1A79"/>
    <w:rsid w:val="00BE22CD"/>
    <w:rsid w:val="00BE2CC2"/>
    <w:rsid w:val="00BE4C3F"/>
    <w:rsid w:val="00BE4E4F"/>
    <w:rsid w:val="00BE5E33"/>
    <w:rsid w:val="00BE6557"/>
    <w:rsid w:val="00BE6AC2"/>
    <w:rsid w:val="00BF0542"/>
    <w:rsid w:val="00BF091C"/>
    <w:rsid w:val="00BF11B8"/>
    <w:rsid w:val="00BF49B7"/>
    <w:rsid w:val="00C02A13"/>
    <w:rsid w:val="00C05258"/>
    <w:rsid w:val="00C10C31"/>
    <w:rsid w:val="00C120AF"/>
    <w:rsid w:val="00C16368"/>
    <w:rsid w:val="00C17A72"/>
    <w:rsid w:val="00C2028E"/>
    <w:rsid w:val="00C20DA2"/>
    <w:rsid w:val="00C256C6"/>
    <w:rsid w:val="00C25771"/>
    <w:rsid w:val="00C262DB"/>
    <w:rsid w:val="00C3115B"/>
    <w:rsid w:val="00C339A0"/>
    <w:rsid w:val="00C37483"/>
    <w:rsid w:val="00C40B7F"/>
    <w:rsid w:val="00C44579"/>
    <w:rsid w:val="00C4513B"/>
    <w:rsid w:val="00C451A4"/>
    <w:rsid w:val="00C45C5D"/>
    <w:rsid w:val="00C60330"/>
    <w:rsid w:val="00C636A1"/>
    <w:rsid w:val="00C63A6F"/>
    <w:rsid w:val="00C75E9E"/>
    <w:rsid w:val="00C90468"/>
    <w:rsid w:val="00C91F8C"/>
    <w:rsid w:val="00C97D85"/>
    <w:rsid w:val="00CA01FD"/>
    <w:rsid w:val="00CA16D2"/>
    <w:rsid w:val="00CA2BB3"/>
    <w:rsid w:val="00CA4BEF"/>
    <w:rsid w:val="00CA5A3B"/>
    <w:rsid w:val="00CB2055"/>
    <w:rsid w:val="00CB28D7"/>
    <w:rsid w:val="00CB58AF"/>
    <w:rsid w:val="00CB6AE8"/>
    <w:rsid w:val="00CB72A3"/>
    <w:rsid w:val="00CC06A4"/>
    <w:rsid w:val="00CC193C"/>
    <w:rsid w:val="00CC3BEC"/>
    <w:rsid w:val="00CD1B09"/>
    <w:rsid w:val="00CD430D"/>
    <w:rsid w:val="00CD4C47"/>
    <w:rsid w:val="00CD523C"/>
    <w:rsid w:val="00CD5346"/>
    <w:rsid w:val="00CD7523"/>
    <w:rsid w:val="00CE5EFF"/>
    <w:rsid w:val="00CE71E2"/>
    <w:rsid w:val="00CF3514"/>
    <w:rsid w:val="00CF5049"/>
    <w:rsid w:val="00CF7170"/>
    <w:rsid w:val="00D03076"/>
    <w:rsid w:val="00D16827"/>
    <w:rsid w:val="00D20DE5"/>
    <w:rsid w:val="00D215BF"/>
    <w:rsid w:val="00D22122"/>
    <w:rsid w:val="00D2438A"/>
    <w:rsid w:val="00D33B28"/>
    <w:rsid w:val="00D3593E"/>
    <w:rsid w:val="00D442DD"/>
    <w:rsid w:val="00D46439"/>
    <w:rsid w:val="00D4692E"/>
    <w:rsid w:val="00D5086E"/>
    <w:rsid w:val="00D54296"/>
    <w:rsid w:val="00D57FAD"/>
    <w:rsid w:val="00D6070C"/>
    <w:rsid w:val="00D61A0D"/>
    <w:rsid w:val="00D62A93"/>
    <w:rsid w:val="00D6435F"/>
    <w:rsid w:val="00D65C18"/>
    <w:rsid w:val="00D65D11"/>
    <w:rsid w:val="00D74129"/>
    <w:rsid w:val="00D7472F"/>
    <w:rsid w:val="00D76DA6"/>
    <w:rsid w:val="00D84954"/>
    <w:rsid w:val="00D8624F"/>
    <w:rsid w:val="00D908F9"/>
    <w:rsid w:val="00D90E7E"/>
    <w:rsid w:val="00D90E98"/>
    <w:rsid w:val="00D919F1"/>
    <w:rsid w:val="00DA4921"/>
    <w:rsid w:val="00DA50D3"/>
    <w:rsid w:val="00DA593E"/>
    <w:rsid w:val="00DA5F46"/>
    <w:rsid w:val="00DB20A9"/>
    <w:rsid w:val="00DB3081"/>
    <w:rsid w:val="00DB340D"/>
    <w:rsid w:val="00DB3728"/>
    <w:rsid w:val="00DB39A7"/>
    <w:rsid w:val="00DB45BB"/>
    <w:rsid w:val="00DB4F59"/>
    <w:rsid w:val="00DB60EE"/>
    <w:rsid w:val="00DB7DC2"/>
    <w:rsid w:val="00DC528C"/>
    <w:rsid w:val="00DC5A9E"/>
    <w:rsid w:val="00DD060B"/>
    <w:rsid w:val="00DD1454"/>
    <w:rsid w:val="00DD5C71"/>
    <w:rsid w:val="00DE2FB9"/>
    <w:rsid w:val="00DE7707"/>
    <w:rsid w:val="00DF6CA0"/>
    <w:rsid w:val="00DF7F2A"/>
    <w:rsid w:val="00E017B9"/>
    <w:rsid w:val="00E02CA3"/>
    <w:rsid w:val="00E0344C"/>
    <w:rsid w:val="00E064D2"/>
    <w:rsid w:val="00E0730F"/>
    <w:rsid w:val="00E11680"/>
    <w:rsid w:val="00E1212E"/>
    <w:rsid w:val="00E1250B"/>
    <w:rsid w:val="00E13B4C"/>
    <w:rsid w:val="00E141A3"/>
    <w:rsid w:val="00E14CF5"/>
    <w:rsid w:val="00E2188F"/>
    <w:rsid w:val="00E27158"/>
    <w:rsid w:val="00E276C1"/>
    <w:rsid w:val="00E37712"/>
    <w:rsid w:val="00E42D27"/>
    <w:rsid w:val="00E448B2"/>
    <w:rsid w:val="00E44E68"/>
    <w:rsid w:val="00E46AB2"/>
    <w:rsid w:val="00E519AB"/>
    <w:rsid w:val="00E52D48"/>
    <w:rsid w:val="00E54D40"/>
    <w:rsid w:val="00E64A44"/>
    <w:rsid w:val="00E65D2C"/>
    <w:rsid w:val="00E664B3"/>
    <w:rsid w:val="00E707D4"/>
    <w:rsid w:val="00E716B1"/>
    <w:rsid w:val="00E718E2"/>
    <w:rsid w:val="00E74590"/>
    <w:rsid w:val="00E756B0"/>
    <w:rsid w:val="00E75917"/>
    <w:rsid w:val="00E77CD6"/>
    <w:rsid w:val="00E80DF5"/>
    <w:rsid w:val="00EA0031"/>
    <w:rsid w:val="00EB0D7D"/>
    <w:rsid w:val="00EB71F6"/>
    <w:rsid w:val="00EC01A8"/>
    <w:rsid w:val="00EC141F"/>
    <w:rsid w:val="00EC21B7"/>
    <w:rsid w:val="00EC27CF"/>
    <w:rsid w:val="00EC3951"/>
    <w:rsid w:val="00EC4ECE"/>
    <w:rsid w:val="00ED1070"/>
    <w:rsid w:val="00ED1178"/>
    <w:rsid w:val="00ED361C"/>
    <w:rsid w:val="00EE09F2"/>
    <w:rsid w:val="00EE32E0"/>
    <w:rsid w:val="00EF15F2"/>
    <w:rsid w:val="00EF2FA5"/>
    <w:rsid w:val="00EF33C9"/>
    <w:rsid w:val="00EF3FE0"/>
    <w:rsid w:val="00EF5787"/>
    <w:rsid w:val="00EF6323"/>
    <w:rsid w:val="00EF6C59"/>
    <w:rsid w:val="00F04698"/>
    <w:rsid w:val="00F075B8"/>
    <w:rsid w:val="00F10B85"/>
    <w:rsid w:val="00F14615"/>
    <w:rsid w:val="00F14793"/>
    <w:rsid w:val="00F31CED"/>
    <w:rsid w:val="00F414B8"/>
    <w:rsid w:val="00F41993"/>
    <w:rsid w:val="00F4219C"/>
    <w:rsid w:val="00F51781"/>
    <w:rsid w:val="00F52104"/>
    <w:rsid w:val="00F53C28"/>
    <w:rsid w:val="00F5546E"/>
    <w:rsid w:val="00F56F3B"/>
    <w:rsid w:val="00F604B7"/>
    <w:rsid w:val="00F6309F"/>
    <w:rsid w:val="00F63465"/>
    <w:rsid w:val="00F64AEE"/>
    <w:rsid w:val="00F77657"/>
    <w:rsid w:val="00F81D09"/>
    <w:rsid w:val="00F84F2B"/>
    <w:rsid w:val="00F95B5A"/>
    <w:rsid w:val="00FA03B7"/>
    <w:rsid w:val="00FA35D3"/>
    <w:rsid w:val="00FA56A8"/>
    <w:rsid w:val="00FB254C"/>
    <w:rsid w:val="00FC284E"/>
    <w:rsid w:val="00FC4A76"/>
    <w:rsid w:val="00FC5487"/>
    <w:rsid w:val="00FC605A"/>
    <w:rsid w:val="00FC6E69"/>
    <w:rsid w:val="00FD3036"/>
    <w:rsid w:val="00FD410F"/>
    <w:rsid w:val="00FD7ACA"/>
    <w:rsid w:val="00FE3238"/>
    <w:rsid w:val="00FE5FAD"/>
    <w:rsid w:val="00FE61BC"/>
    <w:rsid w:val="00FF3265"/>
    <w:rsid w:val="00FF4AAF"/>
    <w:rsid w:val="00FF509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2B5B56B5"/>
  <w15:docId w15:val="{D17AD935-BBCA-4295-97BC-F06BFDE7A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970"/>
    <w:pPr>
      <w:spacing w:after="260" w:line="240" w:lineRule="auto"/>
    </w:pPr>
    <w:rPr>
      <w:rFonts w:ascii="Arial" w:hAnsi="Arial"/>
      <w:sz w:val="24"/>
      <w:szCs w:val="24"/>
    </w:rPr>
  </w:style>
  <w:style w:type="paragraph" w:styleId="Heading1">
    <w:name w:val="heading 1"/>
    <w:basedOn w:val="Normal"/>
    <w:next w:val="Normal"/>
    <w:link w:val="Heading1Char"/>
    <w:uiPriority w:val="9"/>
    <w:qFormat/>
    <w:rsid w:val="000C3970"/>
    <w:pPr>
      <w:keepNext/>
      <w:outlineLvl w:val="0"/>
    </w:pPr>
    <w:rPr>
      <w:rFonts w:eastAsia="Times New Roman" w:cs="Times New Roman"/>
      <w:b/>
      <w:bCs/>
      <w:kern w:val="32"/>
      <w:sz w:val="36"/>
      <w:szCs w:val="32"/>
      <w:lang w:eastAsia="en-GB"/>
    </w:rPr>
  </w:style>
  <w:style w:type="paragraph" w:styleId="Heading2">
    <w:name w:val="heading 2"/>
    <w:basedOn w:val="Normal"/>
    <w:next w:val="Normal"/>
    <w:link w:val="Heading2Char"/>
    <w:uiPriority w:val="9"/>
    <w:unhideWhenUsed/>
    <w:qFormat/>
    <w:rsid w:val="003559F6"/>
    <w:pPr>
      <w:keepNext/>
      <w:keepLines/>
      <w:outlineLvl w:val="1"/>
    </w:pPr>
    <w:rPr>
      <w:rFonts w:eastAsia="MS Gothic" w:cs="Arial"/>
      <w:b/>
      <w:bCs/>
      <w:sz w:val="28"/>
      <w:szCs w:val="28"/>
    </w:rPr>
  </w:style>
  <w:style w:type="paragraph" w:styleId="Heading3">
    <w:name w:val="heading 3"/>
    <w:basedOn w:val="Heading2"/>
    <w:next w:val="Normal"/>
    <w:link w:val="Heading3Char"/>
    <w:uiPriority w:val="9"/>
    <w:unhideWhenUsed/>
    <w:qFormat/>
    <w:rsid w:val="00BE1A79"/>
    <w:pPr>
      <w:numPr>
        <w:ilvl w:val="2"/>
      </w:numPr>
      <w:outlineLvl w:val="2"/>
    </w:pPr>
    <w:rPr>
      <w:sz w:val="24"/>
      <w:szCs w:val="24"/>
    </w:rPr>
  </w:style>
  <w:style w:type="paragraph" w:styleId="Heading4">
    <w:name w:val="heading 4"/>
    <w:basedOn w:val="Heading3"/>
    <w:next w:val="Normal"/>
    <w:link w:val="Heading4Char"/>
    <w:uiPriority w:val="9"/>
    <w:unhideWhenUsed/>
    <w:rsid w:val="00551530"/>
    <w:pPr>
      <w:numPr>
        <w:ilvl w:val="0"/>
      </w:numPr>
      <w:outlineLvl w:val="3"/>
    </w:pPr>
  </w:style>
  <w:style w:type="paragraph" w:styleId="Heading6">
    <w:name w:val="heading 6"/>
    <w:basedOn w:val="Normal"/>
    <w:next w:val="Normal"/>
    <w:link w:val="Heading6Char"/>
    <w:uiPriority w:val="9"/>
    <w:semiHidden/>
    <w:unhideWhenUsed/>
    <w:qFormat/>
    <w:rsid w:val="006623C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3970"/>
    <w:rPr>
      <w:rFonts w:ascii="Arial" w:eastAsia="Times New Roman" w:hAnsi="Arial" w:cs="Times New Roman"/>
      <w:b/>
      <w:bCs/>
      <w:kern w:val="32"/>
      <w:sz w:val="36"/>
      <w:szCs w:val="32"/>
      <w:lang w:eastAsia="en-GB"/>
    </w:rPr>
  </w:style>
  <w:style w:type="character" w:customStyle="1" w:styleId="Heading2Char">
    <w:name w:val="Heading 2 Char"/>
    <w:basedOn w:val="DefaultParagraphFont"/>
    <w:link w:val="Heading2"/>
    <w:uiPriority w:val="9"/>
    <w:rsid w:val="003559F6"/>
    <w:rPr>
      <w:rFonts w:ascii="Arial" w:eastAsia="MS Gothic" w:hAnsi="Arial" w:cs="Arial"/>
      <w:b/>
      <w:bCs/>
      <w:sz w:val="28"/>
      <w:szCs w:val="28"/>
    </w:rPr>
  </w:style>
  <w:style w:type="character" w:customStyle="1" w:styleId="Heading3Char">
    <w:name w:val="Heading 3 Char"/>
    <w:basedOn w:val="DefaultParagraphFont"/>
    <w:link w:val="Heading3"/>
    <w:uiPriority w:val="9"/>
    <w:rsid w:val="00BE1A79"/>
    <w:rPr>
      <w:rFonts w:ascii="Arial" w:eastAsia="MS Gothic" w:hAnsi="Arial" w:cs="Arial"/>
      <w:b/>
      <w:bCs/>
      <w:sz w:val="24"/>
      <w:szCs w:val="24"/>
    </w:rPr>
  </w:style>
  <w:style w:type="character" w:customStyle="1" w:styleId="Heading4Char">
    <w:name w:val="Heading 4 Char"/>
    <w:basedOn w:val="DefaultParagraphFont"/>
    <w:link w:val="Heading4"/>
    <w:uiPriority w:val="9"/>
    <w:rsid w:val="00551530"/>
    <w:rPr>
      <w:rFonts w:ascii="Arial" w:eastAsia="MS Gothic" w:hAnsi="Arial" w:cs="Arial"/>
      <w:b/>
      <w:bCs/>
      <w:color w:val="4F81BD" w:themeColor="accent1"/>
      <w:sz w:val="24"/>
      <w:szCs w:val="24"/>
    </w:rPr>
  </w:style>
  <w:style w:type="character" w:customStyle="1" w:styleId="Heading6Char">
    <w:name w:val="Heading 6 Char"/>
    <w:basedOn w:val="DefaultParagraphFont"/>
    <w:link w:val="Heading6"/>
    <w:uiPriority w:val="9"/>
    <w:semiHidden/>
    <w:rsid w:val="006623CE"/>
    <w:rPr>
      <w:rFonts w:asciiTheme="majorHAnsi" w:eastAsiaTheme="majorEastAsia" w:hAnsiTheme="majorHAnsi" w:cstheme="majorBidi"/>
      <w:i/>
      <w:iCs/>
      <w:color w:val="243F60" w:themeColor="accent1" w:themeShade="7F"/>
    </w:rPr>
  </w:style>
  <w:style w:type="paragraph" w:styleId="BalloonText">
    <w:name w:val="Balloon Text"/>
    <w:basedOn w:val="Normal"/>
    <w:link w:val="BalloonTextChar"/>
    <w:uiPriority w:val="99"/>
    <w:semiHidden/>
    <w:unhideWhenUsed/>
    <w:rsid w:val="000B779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7798"/>
    <w:rPr>
      <w:rFonts w:ascii="Lucida Grande" w:hAnsi="Lucida Grande" w:cs="Lucida Grande"/>
      <w:sz w:val="18"/>
      <w:szCs w:val="18"/>
    </w:rPr>
  </w:style>
  <w:style w:type="paragraph" w:customStyle="1" w:styleId="Heading-Section">
    <w:name w:val="Heading - Section"/>
    <w:basedOn w:val="Normal"/>
    <w:qFormat/>
    <w:rsid w:val="000B7798"/>
    <w:pPr>
      <w:spacing w:after="480"/>
      <w:outlineLvl w:val="0"/>
    </w:pPr>
    <w:rPr>
      <w:rFonts w:eastAsia="Times New Roman" w:cs="Arial"/>
      <w:b/>
      <w:bCs/>
      <w:caps/>
      <w:sz w:val="48"/>
      <w:szCs w:val="48"/>
      <w:lang w:eastAsia="en-GB"/>
    </w:rPr>
  </w:style>
  <w:style w:type="paragraph" w:styleId="TOC2">
    <w:name w:val="toc 2"/>
    <w:basedOn w:val="Normal"/>
    <w:next w:val="Normal"/>
    <w:autoRedefine/>
    <w:uiPriority w:val="39"/>
    <w:rsid w:val="000B7798"/>
    <w:pPr>
      <w:tabs>
        <w:tab w:val="right" w:leader="dot" w:pos="9628"/>
      </w:tabs>
      <w:spacing w:after="0"/>
      <w:ind w:left="240"/>
    </w:pPr>
    <w:rPr>
      <w:rFonts w:eastAsia="Times New Roman" w:cs="Times New Roman"/>
      <w:noProof/>
      <w:lang w:eastAsia="en-GB"/>
    </w:rPr>
  </w:style>
  <w:style w:type="paragraph" w:styleId="TOC1">
    <w:name w:val="toc 1"/>
    <w:basedOn w:val="Normal"/>
    <w:next w:val="Normal"/>
    <w:autoRedefine/>
    <w:uiPriority w:val="39"/>
    <w:rsid w:val="003559F6"/>
    <w:pPr>
      <w:tabs>
        <w:tab w:val="right" w:leader="dot" w:pos="9628"/>
      </w:tabs>
      <w:spacing w:after="0"/>
    </w:pPr>
    <w:rPr>
      <w:rFonts w:eastAsia="Times New Roman" w:cs="Times New Roman"/>
      <w:lang w:eastAsia="en-GB"/>
    </w:rPr>
  </w:style>
  <w:style w:type="character" w:styleId="Emphasis">
    <w:name w:val="Emphasis"/>
    <w:basedOn w:val="DefaultParagraphFont"/>
    <w:uiPriority w:val="99"/>
    <w:rsid w:val="000B7798"/>
    <w:rPr>
      <w:i/>
      <w:iCs/>
    </w:rPr>
  </w:style>
  <w:style w:type="paragraph" w:styleId="ListParagraph">
    <w:name w:val="List Paragraph"/>
    <w:aliases w:val="Normal + indent,F5 List Paragraph,List Paragraph1,Dot pt,No Spacing1,List Paragraph Char Char Char,Indicator Text,Colorful List - Accent 11,Numbered Para 1,Bullet 1,Bullet Points,MAIN CONTENT,List Paragraph12,Bullet Style,List Paragraph2"/>
    <w:basedOn w:val="Normal"/>
    <w:link w:val="ListParagraphChar"/>
    <w:uiPriority w:val="34"/>
    <w:qFormat/>
    <w:rsid w:val="000B7798"/>
    <w:pPr>
      <w:ind w:left="720"/>
      <w:contextualSpacing/>
    </w:pPr>
  </w:style>
  <w:style w:type="paragraph" w:styleId="Header">
    <w:name w:val="header"/>
    <w:basedOn w:val="Normal"/>
    <w:link w:val="HeaderChar"/>
    <w:unhideWhenUsed/>
    <w:rsid w:val="000C3970"/>
    <w:pPr>
      <w:tabs>
        <w:tab w:val="center" w:pos="4320"/>
        <w:tab w:val="right" w:pos="8640"/>
      </w:tabs>
      <w:spacing w:after="0"/>
    </w:pPr>
  </w:style>
  <w:style w:type="character" w:customStyle="1" w:styleId="HeaderChar">
    <w:name w:val="Header Char"/>
    <w:basedOn w:val="DefaultParagraphFont"/>
    <w:link w:val="Header"/>
    <w:rsid w:val="000C3970"/>
    <w:rPr>
      <w:rFonts w:ascii="Arial" w:hAnsi="Arial"/>
      <w:sz w:val="24"/>
      <w:szCs w:val="24"/>
    </w:rPr>
  </w:style>
  <w:style w:type="paragraph" w:styleId="Footer">
    <w:name w:val="footer"/>
    <w:basedOn w:val="Normal"/>
    <w:link w:val="FooterChar"/>
    <w:uiPriority w:val="99"/>
    <w:unhideWhenUsed/>
    <w:rsid w:val="000C3970"/>
    <w:pPr>
      <w:tabs>
        <w:tab w:val="center" w:pos="4320"/>
        <w:tab w:val="right" w:pos="8640"/>
      </w:tabs>
      <w:spacing w:after="0"/>
    </w:pPr>
  </w:style>
  <w:style w:type="character" w:customStyle="1" w:styleId="FooterChar">
    <w:name w:val="Footer Char"/>
    <w:basedOn w:val="DefaultParagraphFont"/>
    <w:link w:val="Footer"/>
    <w:uiPriority w:val="99"/>
    <w:rsid w:val="000C3970"/>
    <w:rPr>
      <w:rFonts w:ascii="Arial" w:hAnsi="Arial"/>
      <w:sz w:val="24"/>
      <w:szCs w:val="24"/>
    </w:rPr>
  </w:style>
  <w:style w:type="paragraph" w:customStyle="1" w:styleId="Bullets">
    <w:name w:val="Bullets"/>
    <w:basedOn w:val="Normal"/>
    <w:qFormat/>
    <w:rsid w:val="00A43633"/>
    <w:pPr>
      <w:numPr>
        <w:numId w:val="1"/>
      </w:numPr>
      <w:ind w:left="284" w:hanging="284"/>
      <w:contextualSpacing/>
    </w:pPr>
    <w:rPr>
      <w:lang w:eastAsia="en-GB"/>
    </w:rPr>
  </w:style>
  <w:style w:type="paragraph" w:customStyle="1" w:styleId="BulletParas">
    <w:name w:val="Bullet Paras"/>
    <w:basedOn w:val="Bullets"/>
    <w:qFormat/>
    <w:rsid w:val="00A43633"/>
    <w:pPr>
      <w:contextualSpacing w:val="0"/>
    </w:pPr>
  </w:style>
  <w:style w:type="paragraph" w:customStyle="1" w:styleId="Footnote">
    <w:name w:val="Footnote"/>
    <w:basedOn w:val="FootnoteText"/>
    <w:qFormat/>
    <w:rsid w:val="00605D9F"/>
    <w:pPr>
      <w:ind w:left="284" w:hanging="284"/>
    </w:pPr>
    <w:rPr>
      <w:sz w:val="20"/>
    </w:rPr>
  </w:style>
  <w:style w:type="character" w:styleId="FootnoteReference">
    <w:name w:val="footnote reference"/>
    <w:basedOn w:val="DefaultParagraphFont"/>
    <w:uiPriority w:val="99"/>
    <w:unhideWhenUsed/>
    <w:rsid w:val="00215AAF"/>
    <w:rPr>
      <w:vertAlign w:val="superscript"/>
    </w:rPr>
  </w:style>
  <w:style w:type="paragraph" w:styleId="FootnoteText">
    <w:name w:val="footnote text"/>
    <w:basedOn w:val="Normal"/>
    <w:link w:val="FootnoteTextChar"/>
    <w:uiPriority w:val="99"/>
    <w:unhideWhenUsed/>
    <w:rsid w:val="00BE1A79"/>
    <w:pPr>
      <w:spacing w:after="0"/>
    </w:pPr>
  </w:style>
  <w:style w:type="character" w:customStyle="1" w:styleId="FootnoteTextChar">
    <w:name w:val="Footnote Text Char"/>
    <w:basedOn w:val="DefaultParagraphFont"/>
    <w:link w:val="FootnoteText"/>
    <w:uiPriority w:val="99"/>
    <w:rsid w:val="00BE1A79"/>
    <w:rPr>
      <w:rFonts w:ascii="Arial" w:hAnsi="Arial"/>
      <w:sz w:val="24"/>
      <w:szCs w:val="24"/>
    </w:rPr>
  </w:style>
  <w:style w:type="paragraph" w:customStyle="1" w:styleId="TableText">
    <w:name w:val="Table Text"/>
    <w:basedOn w:val="Normal"/>
    <w:qFormat/>
    <w:rsid w:val="00C17A72"/>
    <w:pPr>
      <w:spacing w:after="0"/>
    </w:pPr>
    <w:rPr>
      <w:sz w:val="20"/>
      <w:lang w:eastAsia="en-GB"/>
    </w:rPr>
  </w:style>
  <w:style w:type="table" w:styleId="TableGrid">
    <w:name w:val="Table Grid"/>
    <w:aliases w:val="IPG Table 1,IPG Table 1XX"/>
    <w:basedOn w:val="TableNormal"/>
    <w:uiPriority w:val="39"/>
    <w:rsid w:val="00BD4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04A4"/>
    <w:rPr>
      <w:color w:val="0000FF" w:themeColor="hyperlink"/>
      <w:u w:val="single"/>
    </w:rPr>
  </w:style>
  <w:style w:type="paragraph" w:styleId="NormalWeb">
    <w:name w:val="Normal (Web)"/>
    <w:basedOn w:val="Normal"/>
    <w:uiPriority w:val="99"/>
    <w:unhideWhenUsed/>
    <w:rsid w:val="00873E0C"/>
    <w:pPr>
      <w:spacing w:before="100" w:beforeAutospacing="1" w:after="100" w:afterAutospacing="1"/>
    </w:pPr>
    <w:rPr>
      <w:rFonts w:ascii="Times New Roman" w:eastAsia="Times New Roman" w:hAnsi="Times New Roman" w:cs="Times New Roman"/>
      <w:lang w:eastAsia="en-GB"/>
    </w:rPr>
  </w:style>
  <w:style w:type="paragraph" w:styleId="NoSpacing">
    <w:name w:val="No Spacing"/>
    <w:uiPriority w:val="1"/>
    <w:qFormat/>
    <w:rsid w:val="00873E0C"/>
    <w:pPr>
      <w:spacing w:after="0" w:line="240" w:lineRule="auto"/>
    </w:pPr>
  </w:style>
  <w:style w:type="character" w:customStyle="1" w:styleId="UnresolvedMention">
    <w:name w:val="Unresolved Mention"/>
    <w:basedOn w:val="DefaultParagraphFont"/>
    <w:uiPriority w:val="99"/>
    <w:rsid w:val="00BE4C3F"/>
    <w:rPr>
      <w:color w:val="605E5C"/>
      <w:shd w:val="clear" w:color="auto" w:fill="E1DFDD"/>
    </w:rPr>
  </w:style>
  <w:style w:type="character" w:styleId="PageNumber">
    <w:name w:val="page number"/>
    <w:basedOn w:val="DefaultParagraphFont"/>
    <w:uiPriority w:val="99"/>
    <w:semiHidden/>
    <w:unhideWhenUsed/>
    <w:rsid w:val="000C1079"/>
  </w:style>
  <w:style w:type="numbering" w:customStyle="1" w:styleId="CurrentList1">
    <w:name w:val="Current List1"/>
    <w:uiPriority w:val="99"/>
    <w:rsid w:val="00E80DF5"/>
    <w:pPr>
      <w:numPr>
        <w:numId w:val="2"/>
      </w:numPr>
    </w:pPr>
  </w:style>
  <w:style w:type="numbering" w:customStyle="1" w:styleId="CurrentList2">
    <w:name w:val="Current List2"/>
    <w:uiPriority w:val="99"/>
    <w:rsid w:val="00E80DF5"/>
    <w:pPr>
      <w:numPr>
        <w:numId w:val="3"/>
      </w:numPr>
    </w:pPr>
  </w:style>
  <w:style w:type="paragraph" w:styleId="CommentText">
    <w:name w:val="annotation text"/>
    <w:basedOn w:val="Normal"/>
    <w:link w:val="CommentTextChar"/>
    <w:uiPriority w:val="99"/>
    <w:unhideWhenUsed/>
    <w:rsid w:val="0043188A"/>
    <w:pPr>
      <w:spacing w:after="200"/>
    </w:pPr>
    <w:rPr>
      <w:rFonts w:asciiTheme="minorHAnsi" w:hAnsiTheme="minorHAnsi"/>
      <w:sz w:val="20"/>
      <w:szCs w:val="20"/>
    </w:rPr>
  </w:style>
  <w:style w:type="character" w:customStyle="1" w:styleId="CommentTextChar">
    <w:name w:val="Comment Text Char"/>
    <w:basedOn w:val="DefaultParagraphFont"/>
    <w:link w:val="CommentText"/>
    <w:uiPriority w:val="99"/>
    <w:rsid w:val="0043188A"/>
    <w:rPr>
      <w:sz w:val="20"/>
      <w:szCs w:val="20"/>
    </w:rPr>
  </w:style>
  <w:style w:type="table" w:customStyle="1" w:styleId="IPGTable1XX1">
    <w:name w:val="IPG Table 1XX1"/>
    <w:basedOn w:val="TableNormal"/>
    <w:next w:val="TableGrid"/>
    <w:uiPriority w:val="99"/>
    <w:rsid w:val="0043188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A41E17"/>
    <w:rPr>
      <w:sz w:val="16"/>
      <w:szCs w:val="16"/>
    </w:rPr>
  </w:style>
  <w:style w:type="paragraph" w:styleId="CommentSubject">
    <w:name w:val="annotation subject"/>
    <w:basedOn w:val="CommentText"/>
    <w:next w:val="CommentText"/>
    <w:link w:val="CommentSubjectChar"/>
    <w:uiPriority w:val="99"/>
    <w:semiHidden/>
    <w:unhideWhenUsed/>
    <w:rsid w:val="00A41E17"/>
    <w:pPr>
      <w:spacing w:after="260"/>
    </w:pPr>
    <w:rPr>
      <w:rFonts w:ascii="Arial" w:hAnsi="Arial"/>
      <w:b/>
      <w:bCs/>
    </w:rPr>
  </w:style>
  <w:style w:type="character" w:customStyle="1" w:styleId="CommentSubjectChar">
    <w:name w:val="Comment Subject Char"/>
    <w:basedOn w:val="CommentTextChar"/>
    <w:link w:val="CommentSubject"/>
    <w:uiPriority w:val="99"/>
    <w:semiHidden/>
    <w:rsid w:val="00A41E17"/>
    <w:rPr>
      <w:rFonts w:ascii="Arial" w:hAnsi="Arial"/>
      <w:b/>
      <w:bCs/>
      <w:sz w:val="20"/>
      <w:szCs w:val="20"/>
    </w:rPr>
  </w:style>
  <w:style w:type="character" w:customStyle="1" w:styleId="ListParagraphChar">
    <w:name w:val="List Paragraph Char"/>
    <w:aliases w:val="Normal + indent Char,F5 List Paragraph Char,List Paragraph1 Char,Dot pt Char,No Spacing1 Char,List Paragraph Char Char Char Char,Indicator Text Char,Colorful List - Accent 11 Char,Numbered Para 1 Char,Bullet 1 Char,Bullet Points Char"/>
    <w:basedOn w:val="DefaultParagraphFont"/>
    <w:link w:val="ListParagraph"/>
    <w:uiPriority w:val="34"/>
    <w:rsid w:val="00BC7091"/>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57728">
      <w:bodyDiv w:val="1"/>
      <w:marLeft w:val="0"/>
      <w:marRight w:val="0"/>
      <w:marTop w:val="0"/>
      <w:marBottom w:val="0"/>
      <w:divBdr>
        <w:top w:val="none" w:sz="0" w:space="0" w:color="auto"/>
        <w:left w:val="none" w:sz="0" w:space="0" w:color="auto"/>
        <w:bottom w:val="none" w:sz="0" w:space="0" w:color="auto"/>
        <w:right w:val="none" w:sz="0" w:space="0" w:color="auto"/>
      </w:divBdr>
    </w:div>
    <w:div w:id="58216323">
      <w:bodyDiv w:val="1"/>
      <w:marLeft w:val="0"/>
      <w:marRight w:val="0"/>
      <w:marTop w:val="0"/>
      <w:marBottom w:val="0"/>
      <w:divBdr>
        <w:top w:val="none" w:sz="0" w:space="0" w:color="auto"/>
        <w:left w:val="none" w:sz="0" w:space="0" w:color="auto"/>
        <w:bottom w:val="none" w:sz="0" w:space="0" w:color="auto"/>
        <w:right w:val="none" w:sz="0" w:space="0" w:color="auto"/>
      </w:divBdr>
    </w:div>
    <w:div w:id="107699985">
      <w:bodyDiv w:val="1"/>
      <w:marLeft w:val="0"/>
      <w:marRight w:val="0"/>
      <w:marTop w:val="0"/>
      <w:marBottom w:val="0"/>
      <w:divBdr>
        <w:top w:val="none" w:sz="0" w:space="0" w:color="auto"/>
        <w:left w:val="none" w:sz="0" w:space="0" w:color="auto"/>
        <w:bottom w:val="none" w:sz="0" w:space="0" w:color="auto"/>
        <w:right w:val="none" w:sz="0" w:space="0" w:color="auto"/>
      </w:divBdr>
    </w:div>
    <w:div w:id="151601059">
      <w:bodyDiv w:val="1"/>
      <w:marLeft w:val="0"/>
      <w:marRight w:val="0"/>
      <w:marTop w:val="0"/>
      <w:marBottom w:val="0"/>
      <w:divBdr>
        <w:top w:val="none" w:sz="0" w:space="0" w:color="auto"/>
        <w:left w:val="none" w:sz="0" w:space="0" w:color="auto"/>
        <w:bottom w:val="none" w:sz="0" w:space="0" w:color="auto"/>
        <w:right w:val="none" w:sz="0" w:space="0" w:color="auto"/>
      </w:divBdr>
    </w:div>
    <w:div w:id="410855087">
      <w:bodyDiv w:val="1"/>
      <w:marLeft w:val="0"/>
      <w:marRight w:val="0"/>
      <w:marTop w:val="0"/>
      <w:marBottom w:val="0"/>
      <w:divBdr>
        <w:top w:val="none" w:sz="0" w:space="0" w:color="auto"/>
        <w:left w:val="none" w:sz="0" w:space="0" w:color="auto"/>
        <w:bottom w:val="none" w:sz="0" w:space="0" w:color="auto"/>
        <w:right w:val="none" w:sz="0" w:space="0" w:color="auto"/>
      </w:divBdr>
    </w:div>
    <w:div w:id="496270272">
      <w:bodyDiv w:val="1"/>
      <w:marLeft w:val="0"/>
      <w:marRight w:val="0"/>
      <w:marTop w:val="0"/>
      <w:marBottom w:val="0"/>
      <w:divBdr>
        <w:top w:val="none" w:sz="0" w:space="0" w:color="auto"/>
        <w:left w:val="none" w:sz="0" w:space="0" w:color="auto"/>
        <w:bottom w:val="none" w:sz="0" w:space="0" w:color="auto"/>
        <w:right w:val="none" w:sz="0" w:space="0" w:color="auto"/>
      </w:divBdr>
    </w:div>
    <w:div w:id="595482709">
      <w:bodyDiv w:val="1"/>
      <w:marLeft w:val="0"/>
      <w:marRight w:val="0"/>
      <w:marTop w:val="0"/>
      <w:marBottom w:val="0"/>
      <w:divBdr>
        <w:top w:val="none" w:sz="0" w:space="0" w:color="auto"/>
        <w:left w:val="none" w:sz="0" w:space="0" w:color="auto"/>
        <w:bottom w:val="none" w:sz="0" w:space="0" w:color="auto"/>
        <w:right w:val="none" w:sz="0" w:space="0" w:color="auto"/>
      </w:divBdr>
    </w:div>
    <w:div w:id="683092481">
      <w:bodyDiv w:val="1"/>
      <w:marLeft w:val="0"/>
      <w:marRight w:val="0"/>
      <w:marTop w:val="0"/>
      <w:marBottom w:val="0"/>
      <w:divBdr>
        <w:top w:val="none" w:sz="0" w:space="0" w:color="auto"/>
        <w:left w:val="none" w:sz="0" w:space="0" w:color="auto"/>
        <w:bottom w:val="none" w:sz="0" w:space="0" w:color="auto"/>
        <w:right w:val="none" w:sz="0" w:space="0" w:color="auto"/>
      </w:divBdr>
    </w:div>
    <w:div w:id="745615033">
      <w:bodyDiv w:val="1"/>
      <w:marLeft w:val="0"/>
      <w:marRight w:val="0"/>
      <w:marTop w:val="0"/>
      <w:marBottom w:val="0"/>
      <w:divBdr>
        <w:top w:val="none" w:sz="0" w:space="0" w:color="auto"/>
        <w:left w:val="none" w:sz="0" w:space="0" w:color="auto"/>
        <w:bottom w:val="none" w:sz="0" w:space="0" w:color="auto"/>
        <w:right w:val="none" w:sz="0" w:space="0" w:color="auto"/>
      </w:divBdr>
    </w:div>
    <w:div w:id="1001391196">
      <w:bodyDiv w:val="1"/>
      <w:marLeft w:val="0"/>
      <w:marRight w:val="0"/>
      <w:marTop w:val="0"/>
      <w:marBottom w:val="0"/>
      <w:divBdr>
        <w:top w:val="none" w:sz="0" w:space="0" w:color="auto"/>
        <w:left w:val="none" w:sz="0" w:space="0" w:color="auto"/>
        <w:bottom w:val="none" w:sz="0" w:space="0" w:color="auto"/>
        <w:right w:val="none" w:sz="0" w:space="0" w:color="auto"/>
      </w:divBdr>
    </w:div>
    <w:div w:id="1026518382">
      <w:bodyDiv w:val="1"/>
      <w:marLeft w:val="0"/>
      <w:marRight w:val="0"/>
      <w:marTop w:val="0"/>
      <w:marBottom w:val="0"/>
      <w:divBdr>
        <w:top w:val="none" w:sz="0" w:space="0" w:color="auto"/>
        <w:left w:val="none" w:sz="0" w:space="0" w:color="auto"/>
        <w:bottom w:val="none" w:sz="0" w:space="0" w:color="auto"/>
        <w:right w:val="none" w:sz="0" w:space="0" w:color="auto"/>
      </w:divBdr>
    </w:div>
    <w:div w:id="1113091281">
      <w:bodyDiv w:val="1"/>
      <w:marLeft w:val="0"/>
      <w:marRight w:val="0"/>
      <w:marTop w:val="0"/>
      <w:marBottom w:val="0"/>
      <w:divBdr>
        <w:top w:val="none" w:sz="0" w:space="0" w:color="auto"/>
        <w:left w:val="none" w:sz="0" w:space="0" w:color="auto"/>
        <w:bottom w:val="none" w:sz="0" w:space="0" w:color="auto"/>
        <w:right w:val="none" w:sz="0" w:space="0" w:color="auto"/>
      </w:divBdr>
    </w:div>
    <w:div w:id="1157764667">
      <w:bodyDiv w:val="1"/>
      <w:marLeft w:val="0"/>
      <w:marRight w:val="0"/>
      <w:marTop w:val="0"/>
      <w:marBottom w:val="0"/>
      <w:divBdr>
        <w:top w:val="none" w:sz="0" w:space="0" w:color="auto"/>
        <w:left w:val="none" w:sz="0" w:space="0" w:color="auto"/>
        <w:bottom w:val="none" w:sz="0" w:space="0" w:color="auto"/>
        <w:right w:val="none" w:sz="0" w:space="0" w:color="auto"/>
      </w:divBdr>
    </w:div>
    <w:div w:id="1196236022">
      <w:bodyDiv w:val="1"/>
      <w:marLeft w:val="0"/>
      <w:marRight w:val="0"/>
      <w:marTop w:val="0"/>
      <w:marBottom w:val="0"/>
      <w:divBdr>
        <w:top w:val="none" w:sz="0" w:space="0" w:color="auto"/>
        <w:left w:val="none" w:sz="0" w:space="0" w:color="auto"/>
        <w:bottom w:val="none" w:sz="0" w:space="0" w:color="auto"/>
        <w:right w:val="none" w:sz="0" w:space="0" w:color="auto"/>
      </w:divBdr>
    </w:div>
    <w:div w:id="1280382500">
      <w:bodyDiv w:val="1"/>
      <w:marLeft w:val="0"/>
      <w:marRight w:val="0"/>
      <w:marTop w:val="0"/>
      <w:marBottom w:val="0"/>
      <w:divBdr>
        <w:top w:val="none" w:sz="0" w:space="0" w:color="auto"/>
        <w:left w:val="none" w:sz="0" w:space="0" w:color="auto"/>
        <w:bottom w:val="none" w:sz="0" w:space="0" w:color="auto"/>
        <w:right w:val="none" w:sz="0" w:space="0" w:color="auto"/>
      </w:divBdr>
    </w:div>
    <w:div w:id="1384404855">
      <w:bodyDiv w:val="1"/>
      <w:marLeft w:val="0"/>
      <w:marRight w:val="0"/>
      <w:marTop w:val="0"/>
      <w:marBottom w:val="0"/>
      <w:divBdr>
        <w:top w:val="none" w:sz="0" w:space="0" w:color="auto"/>
        <w:left w:val="none" w:sz="0" w:space="0" w:color="auto"/>
        <w:bottom w:val="none" w:sz="0" w:space="0" w:color="auto"/>
        <w:right w:val="none" w:sz="0" w:space="0" w:color="auto"/>
      </w:divBdr>
    </w:div>
    <w:div w:id="1579250775">
      <w:bodyDiv w:val="1"/>
      <w:marLeft w:val="0"/>
      <w:marRight w:val="0"/>
      <w:marTop w:val="0"/>
      <w:marBottom w:val="0"/>
      <w:divBdr>
        <w:top w:val="none" w:sz="0" w:space="0" w:color="auto"/>
        <w:left w:val="none" w:sz="0" w:space="0" w:color="auto"/>
        <w:bottom w:val="none" w:sz="0" w:space="0" w:color="auto"/>
        <w:right w:val="none" w:sz="0" w:space="0" w:color="auto"/>
      </w:divBdr>
    </w:div>
    <w:div w:id="1605110612">
      <w:bodyDiv w:val="1"/>
      <w:marLeft w:val="0"/>
      <w:marRight w:val="0"/>
      <w:marTop w:val="0"/>
      <w:marBottom w:val="0"/>
      <w:divBdr>
        <w:top w:val="none" w:sz="0" w:space="0" w:color="auto"/>
        <w:left w:val="none" w:sz="0" w:space="0" w:color="auto"/>
        <w:bottom w:val="none" w:sz="0" w:space="0" w:color="auto"/>
        <w:right w:val="none" w:sz="0" w:space="0" w:color="auto"/>
      </w:divBdr>
    </w:div>
    <w:div w:id="1740441205">
      <w:bodyDiv w:val="1"/>
      <w:marLeft w:val="0"/>
      <w:marRight w:val="0"/>
      <w:marTop w:val="0"/>
      <w:marBottom w:val="0"/>
      <w:divBdr>
        <w:top w:val="none" w:sz="0" w:space="0" w:color="auto"/>
        <w:left w:val="none" w:sz="0" w:space="0" w:color="auto"/>
        <w:bottom w:val="none" w:sz="0" w:space="0" w:color="auto"/>
        <w:right w:val="none" w:sz="0" w:space="0" w:color="auto"/>
      </w:divBdr>
    </w:div>
    <w:div w:id="1777868112">
      <w:bodyDiv w:val="1"/>
      <w:marLeft w:val="0"/>
      <w:marRight w:val="0"/>
      <w:marTop w:val="0"/>
      <w:marBottom w:val="0"/>
      <w:divBdr>
        <w:top w:val="none" w:sz="0" w:space="0" w:color="auto"/>
        <w:left w:val="none" w:sz="0" w:space="0" w:color="auto"/>
        <w:bottom w:val="none" w:sz="0" w:space="0" w:color="auto"/>
        <w:right w:val="none" w:sz="0" w:space="0" w:color="auto"/>
      </w:divBdr>
    </w:div>
    <w:div w:id="1785928120">
      <w:bodyDiv w:val="1"/>
      <w:marLeft w:val="0"/>
      <w:marRight w:val="0"/>
      <w:marTop w:val="0"/>
      <w:marBottom w:val="0"/>
      <w:divBdr>
        <w:top w:val="none" w:sz="0" w:space="0" w:color="auto"/>
        <w:left w:val="none" w:sz="0" w:space="0" w:color="auto"/>
        <w:bottom w:val="none" w:sz="0" w:space="0" w:color="auto"/>
        <w:right w:val="none" w:sz="0" w:space="0" w:color="auto"/>
      </w:divBdr>
    </w:div>
    <w:div w:id="1785954112">
      <w:bodyDiv w:val="1"/>
      <w:marLeft w:val="0"/>
      <w:marRight w:val="0"/>
      <w:marTop w:val="0"/>
      <w:marBottom w:val="0"/>
      <w:divBdr>
        <w:top w:val="none" w:sz="0" w:space="0" w:color="auto"/>
        <w:left w:val="none" w:sz="0" w:space="0" w:color="auto"/>
        <w:bottom w:val="none" w:sz="0" w:space="0" w:color="auto"/>
        <w:right w:val="none" w:sz="0" w:space="0" w:color="auto"/>
      </w:divBdr>
    </w:div>
    <w:div w:id="1848859947">
      <w:bodyDiv w:val="1"/>
      <w:marLeft w:val="0"/>
      <w:marRight w:val="0"/>
      <w:marTop w:val="0"/>
      <w:marBottom w:val="0"/>
      <w:divBdr>
        <w:top w:val="none" w:sz="0" w:space="0" w:color="auto"/>
        <w:left w:val="none" w:sz="0" w:space="0" w:color="auto"/>
        <w:bottom w:val="none" w:sz="0" w:space="0" w:color="auto"/>
        <w:right w:val="none" w:sz="0" w:space="0" w:color="auto"/>
      </w:divBdr>
    </w:div>
    <w:div w:id="1886746692">
      <w:bodyDiv w:val="1"/>
      <w:marLeft w:val="0"/>
      <w:marRight w:val="0"/>
      <w:marTop w:val="0"/>
      <w:marBottom w:val="0"/>
      <w:divBdr>
        <w:top w:val="none" w:sz="0" w:space="0" w:color="auto"/>
        <w:left w:val="none" w:sz="0" w:space="0" w:color="auto"/>
        <w:bottom w:val="none" w:sz="0" w:space="0" w:color="auto"/>
        <w:right w:val="none" w:sz="0" w:space="0" w:color="auto"/>
      </w:divBdr>
    </w:div>
    <w:div w:id="1963728548">
      <w:bodyDiv w:val="1"/>
      <w:marLeft w:val="0"/>
      <w:marRight w:val="0"/>
      <w:marTop w:val="0"/>
      <w:marBottom w:val="0"/>
      <w:divBdr>
        <w:top w:val="none" w:sz="0" w:space="0" w:color="auto"/>
        <w:left w:val="none" w:sz="0" w:space="0" w:color="auto"/>
        <w:bottom w:val="none" w:sz="0" w:space="0" w:color="auto"/>
        <w:right w:val="none" w:sz="0" w:space="0" w:color="auto"/>
      </w:divBdr>
    </w:div>
    <w:div w:id="1973554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9.png"/><Relationship Id="rId39" Type="http://schemas.openxmlformats.org/officeDocument/2006/relationships/chart" Target="charts/chart14.xml"/><Relationship Id="rId21" Type="http://schemas.openxmlformats.org/officeDocument/2006/relationships/chart" Target="charts/chart2.xml"/><Relationship Id="rId34" Type="http://schemas.openxmlformats.org/officeDocument/2006/relationships/chart" Target="charts/chart9.xml"/><Relationship Id="rId42" Type="http://schemas.openxmlformats.org/officeDocument/2006/relationships/chart" Target="charts/chart17.xml"/><Relationship Id="rId47" Type="http://schemas.openxmlformats.org/officeDocument/2006/relationships/chart" Target="charts/chart22.xml"/><Relationship Id="rId50" Type="http://schemas.openxmlformats.org/officeDocument/2006/relationships/chart" Target="charts/chart25.xml"/><Relationship Id="rId55" Type="http://schemas.openxmlformats.org/officeDocument/2006/relationships/chart" Target="charts/chart30.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chart" Target="charts/chart5.xml"/><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chart" Target="charts/chart28.xml"/><Relationship Id="rId58" Type="http://schemas.openxmlformats.org/officeDocument/2006/relationships/chart" Target="charts/chart33.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chart" Target="charts/chart3.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chart" Target="charts/chart31.xml"/><Relationship Id="rId8" Type="http://schemas.openxmlformats.org/officeDocument/2006/relationships/endnotes" Target="endnotes.xml"/><Relationship Id="rId51" Type="http://schemas.openxmlformats.org/officeDocument/2006/relationships/chart" Target="charts/chart26.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chart" Target="charts/chart6.xml"/><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chart" Target="charts/chart21.xml"/><Relationship Id="rId59" Type="http://schemas.openxmlformats.org/officeDocument/2006/relationships/chart" Target="charts/chart34.xml"/><Relationship Id="rId20" Type="http://schemas.openxmlformats.org/officeDocument/2006/relationships/chart" Target="charts/chart1.xml"/><Relationship Id="rId41" Type="http://schemas.openxmlformats.org/officeDocument/2006/relationships/chart" Target="charts/chart16.xml"/><Relationship Id="rId54" Type="http://schemas.openxmlformats.org/officeDocument/2006/relationships/chart" Target="charts/chart29.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4.xml"/><Relationship Id="rId28" Type="http://schemas.openxmlformats.org/officeDocument/2006/relationships/image" Target="media/image11.png"/><Relationship Id="rId36" Type="http://schemas.openxmlformats.org/officeDocument/2006/relationships/chart" Target="charts/chart11.xml"/><Relationship Id="rId49" Type="http://schemas.openxmlformats.org/officeDocument/2006/relationships/chart" Target="charts/chart24.xml"/><Relationship Id="rId57" Type="http://schemas.openxmlformats.org/officeDocument/2006/relationships/chart" Target="charts/chart32.xml"/><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chart" Target="charts/chart19.xml"/><Relationship Id="rId52" Type="http://schemas.openxmlformats.org/officeDocument/2006/relationships/chart" Target="charts/chart27.xm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w-home\home\My%20Documents\Data%20for%20reports\FF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2.xml"/></Relationships>
</file>

<file path=word/charts/_rels/chart19.xml.rels><?xml version="1.0" encoding="UTF-8" standalone="yes"?>
<Relationships xmlns="http://schemas.openxmlformats.org/package/2006/relationships"><Relationship Id="rId2" Type="http://schemas.openxmlformats.org/officeDocument/2006/relationships/oleObject" Target="file:///\\cw-corp\nursing\COMPLAINTS\Reports\Quality%20Committee\SPC%20charts\Complaints%20closed%20TEMPLATE%20SPC%20CHART.xlsx" TargetMode="External"/><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3" Type="http://schemas.openxmlformats.org/officeDocument/2006/relationships/oleObject" Target="file:///\\cw-home\home\My%20Documents\Data%20for%20reports\FFT.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5.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7.xml"/><Relationship Id="rId1" Type="http://schemas.microsoft.com/office/2011/relationships/chartStyle" Target="style1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6.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8.xml"/><Relationship Id="rId1" Type="http://schemas.microsoft.com/office/2011/relationships/chartStyle" Target="style18.xml"/></Relationships>
</file>

<file path=word/charts/_rels/chart3.xml.rels><?xml version="1.0" encoding="UTF-8" standalone="yes"?>
<Relationships xmlns="http://schemas.openxmlformats.org/package/2006/relationships"><Relationship Id="rId3" Type="http://schemas.openxmlformats.org/officeDocument/2006/relationships/oleObject" Target="file:///\\cw-home\home\My%20Documents\Data%20for%20reports\FFT.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w-corp\nursing\COMPLAINTS\Reports\Quality%20Committee\Report%20-%202023-24%20for%20Quality%20Committee\pals%20received.xlsx" TargetMode="External"/><Relationship Id="rId2" Type="http://schemas.microsoft.com/office/2011/relationships/chartColorStyle" Target="colors19.xml"/><Relationship Id="rId1" Type="http://schemas.microsoft.com/office/2011/relationships/chartStyle" Target="style19.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0.xml"/><Relationship Id="rId1" Type="http://schemas.microsoft.com/office/2011/relationships/chartStyle" Target="style20.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7.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8.xml"/></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4.xml.rels><?xml version="1.0" encoding="UTF-8" standalone="yes"?>
<Relationships xmlns="http://schemas.openxmlformats.org/package/2006/relationships"><Relationship Id="rId3" Type="http://schemas.openxmlformats.org/officeDocument/2006/relationships/oleObject" Target="file:///\\cw-home\home\My%20Documents\Data%20for%20reports\FF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w-home\home\My%20Documents\Data%20for%20reports\FF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w-home\home\My%20Documents\Data%20for%20reports\FF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A&amp;E FFT Satisfaction %</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'A&amp;E'!$B$3</c:f>
              <c:strCache>
                <c:ptCount val="1"/>
                <c:pt idx="0">
                  <c:v>CWFT</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'A&amp;E'!$C$1:$N$2</c:f>
              <c:strCache>
                <c:ptCount val="12"/>
                <c:pt idx="0">
                  <c:v>Apr-23</c:v>
                </c:pt>
                <c:pt idx="1">
                  <c:v>May-23</c:v>
                </c:pt>
                <c:pt idx="2">
                  <c:v>Jun-23</c:v>
                </c:pt>
                <c:pt idx="3">
                  <c:v>Jul-23</c:v>
                </c:pt>
                <c:pt idx="4">
                  <c:v>Aug-23</c:v>
                </c:pt>
                <c:pt idx="5">
                  <c:v>Sep-23</c:v>
                </c:pt>
                <c:pt idx="6">
                  <c:v>Oct-23</c:v>
                </c:pt>
                <c:pt idx="7">
                  <c:v>Nov-23</c:v>
                </c:pt>
                <c:pt idx="8">
                  <c:v>Dec-23</c:v>
                </c:pt>
                <c:pt idx="9">
                  <c:v>Jan-24</c:v>
                </c:pt>
                <c:pt idx="10">
                  <c:v>Feb-24</c:v>
                </c:pt>
                <c:pt idx="11">
                  <c:v>Mar-24</c:v>
                </c:pt>
              </c:strCache>
            </c:strRef>
          </c:cat>
          <c:val>
            <c:numRef>
              <c:f>'A&amp;E'!$C$3:$N$3</c:f>
              <c:numCache>
                <c:formatCode>0%</c:formatCode>
                <c:ptCount val="12"/>
                <c:pt idx="0">
                  <c:v>0.83</c:v>
                </c:pt>
                <c:pt idx="1">
                  <c:v>0.81</c:v>
                </c:pt>
                <c:pt idx="2">
                  <c:v>0.81</c:v>
                </c:pt>
                <c:pt idx="3">
                  <c:v>0.84</c:v>
                </c:pt>
                <c:pt idx="4">
                  <c:v>0.85</c:v>
                </c:pt>
                <c:pt idx="5">
                  <c:v>0.81</c:v>
                </c:pt>
                <c:pt idx="6">
                  <c:v>0.82</c:v>
                </c:pt>
                <c:pt idx="7">
                  <c:v>0.8</c:v>
                </c:pt>
                <c:pt idx="8">
                  <c:v>0.81</c:v>
                </c:pt>
                <c:pt idx="9">
                  <c:v>0.82</c:v>
                </c:pt>
                <c:pt idx="10">
                  <c:v>0.83</c:v>
                </c:pt>
                <c:pt idx="11">
                  <c:v>0.82</c:v>
                </c:pt>
              </c:numCache>
            </c:numRef>
          </c:val>
          <c:smooth val="0"/>
          <c:extLst>
            <c:ext xmlns:c16="http://schemas.microsoft.com/office/drawing/2014/chart" uri="{C3380CC4-5D6E-409C-BE32-E72D297353CC}">
              <c16:uniqueId val="{00000000-F30F-4967-8AE4-DA3AA5B65F0E}"/>
            </c:ext>
          </c:extLst>
        </c:ser>
        <c:ser>
          <c:idx val="1"/>
          <c:order val="1"/>
          <c:tx>
            <c:strRef>
              <c:f>'A&amp;E'!$B$4</c:f>
              <c:strCache>
                <c:ptCount val="1"/>
                <c:pt idx="0">
                  <c:v>NWL</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'A&amp;E'!$C$1:$N$2</c:f>
              <c:strCache>
                <c:ptCount val="12"/>
                <c:pt idx="0">
                  <c:v>Apr-23</c:v>
                </c:pt>
                <c:pt idx="1">
                  <c:v>May-23</c:v>
                </c:pt>
                <c:pt idx="2">
                  <c:v>Jun-23</c:v>
                </c:pt>
                <c:pt idx="3">
                  <c:v>Jul-23</c:v>
                </c:pt>
                <c:pt idx="4">
                  <c:v>Aug-23</c:v>
                </c:pt>
                <c:pt idx="5">
                  <c:v>Sep-23</c:v>
                </c:pt>
                <c:pt idx="6">
                  <c:v>Oct-23</c:v>
                </c:pt>
                <c:pt idx="7">
                  <c:v>Nov-23</c:v>
                </c:pt>
                <c:pt idx="8">
                  <c:v>Dec-23</c:v>
                </c:pt>
                <c:pt idx="9">
                  <c:v>Jan-24</c:v>
                </c:pt>
                <c:pt idx="10">
                  <c:v>Feb-24</c:v>
                </c:pt>
                <c:pt idx="11">
                  <c:v>Mar-24</c:v>
                </c:pt>
              </c:strCache>
            </c:strRef>
          </c:cat>
          <c:val>
            <c:numRef>
              <c:f>'A&amp;E'!$C$4:$N$4</c:f>
              <c:numCache>
                <c:formatCode>0%</c:formatCode>
                <c:ptCount val="12"/>
                <c:pt idx="0">
                  <c:v>0.82</c:v>
                </c:pt>
                <c:pt idx="1">
                  <c:v>0.8</c:v>
                </c:pt>
                <c:pt idx="2">
                  <c:v>0.79</c:v>
                </c:pt>
                <c:pt idx="3">
                  <c:v>0.83</c:v>
                </c:pt>
                <c:pt idx="4">
                  <c:v>0.83</c:v>
                </c:pt>
                <c:pt idx="5">
                  <c:v>0.84</c:v>
                </c:pt>
                <c:pt idx="6">
                  <c:v>0.85</c:v>
                </c:pt>
                <c:pt idx="7">
                  <c:v>0.84</c:v>
                </c:pt>
                <c:pt idx="8">
                  <c:v>0.82</c:v>
                </c:pt>
                <c:pt idx="9">
                  <c:v>0.83</c:v>
                </c:pt>
                <c:pt idx="10">
                  <c:v>0.87</c:v>
                </c:pt>
                <c:pt idx="11">
                  <c:v>0.85</c:v>
                </c:pt>
              </c:numCache>
            </c:numRef>
          </c:val>
          <c:smooth val="0"/>
          <c:extLst>
            <c:ext xmlns:c16="http://schemas.microsoft.com/office/drawing/2014/chart" uri="{C3380CC4-5D6E-409C-BE32-E72D297353CC}">
              <c16:uniqueId val="{00000001-F30F-4967-8AE4-DA3AA5B65F0E}"/>
            </c:ext>
          </c:extLst>
        </c:ser>
        <c:ser>
          <c:idx val="2"/>
          <c:order val="2"/>
          <c:tx>
            <c:strRef>
              <c:f>'A&amp;E'!$B$5</c:f>
              <c:strCache>
                <c:ptCount val="1"/>
                <c:pt idx="0">
                  <c:v>National</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'A&amp;E'!$C$1:$N$2</c:f>
              <c:strCache>
                <c:ptCount val="12"/>
                <c:pt idx="0">
                  <c:v>Apr-23</c:v>
                </c:pt>
                <c:pt idx="1">
                  <c:v>May-23</c:v>
                </c:pt>
                <c:pt idx="2">
                  <c:v>Jun-23</c:v>
                </c:pt>
                <c:pt idx="3">
                  <c:v>Jul-23</c:v>
                </c:pt>
                <c:pt idx="4">
                  <c:v>Aug-23</c:v>
                </c:pt>
                <c:pt idx="5">
                  <c:v>Sep-23</c:v>
                </c:pt>
                <c:pt idx="6">
                  <c:v>Oct-23</c:v>
                </c:pt>
                <c:pt idx="7">
                  <c:v>Nov-23</c:v>
                </c:pt>
                <c:pt idx="8">
                  <c:v>Dec-23</c:v>
                </c:pt>
                <c:pt idx="9">
                  <c:v>Jan-24</c:v>
                </c:pt>
                <c:pt idx="10">
                  <c:v>Feb-24</c:v>
                </c:pt>
                <c:pt idx="11">
                  <c:v>Mar-24</c:v>
                </c:pt>
              </c:strCache>
            </c:strRef>
          </c:cat>
          <c:val>
            <c:numRef>
              <c:f>'A&amp;E'!$C$5:$N$5</c:f>
              <c:numCache>
                <c:formatCode>0%</c:formatCode>
                <c:ptCount val="12"/>
                <c:pt idx="0">
                  <c:v>0.83</c:v>
                </c:pt>
                <c:pt idx="1">
                  <c:v>0.81</c:v>
                </c:pt>
                <c:pt idx="2">
                  <c:v>0.8</c:v>
                </c:pt>
                <c:pt idx="3">
                  <c:v>0.82</c:v>
                </c:pt>
                <c:pt idx="4">
                  <c:v>0.84</c:v>
                </c:pt>
                <c:pt idx="5">
                  <c:v>0.79</c:v>
                </c:pt>
                <c:pt idx="6">
                  <c:v>0.79</c:v>
                </c:pt>
                <c:pt idx="7">
                  <c:v>0.79</c:v>
                </c:pt>
                <c:pt idx="8">
                  <c:v>0.78</c:v>
                </c:pt>
                <c:pt idx="9">
                  <c:v>0.78</c:v>
                </c:pt>
                <c:pt idx="10">
                  <c:v>0.77</c:v>
                </c:pt>
                <c:pt idx="11">
                  <c:v>0.78</c:v>
                </c:pt>
              </c:numCache>
            </c:numRef>
          </c:val>
          <c:smooth val="0"/>
          <c:extLst>
            <c:ext xmlns:c16="http://schemas.microsoft.com/office/drawing/2014/chart" uri="{C3380CC4-5D6E-409C-BE32-E72D297353CC}">
              <c16:uniqueId val="{00000002-F30F-4967-8AE4-DA3AA5B65F0E}"/>
            </c:ext>
          </c:extLst>
        </c:ser>
        <c:dLbls>
          <c:showLegendKey val="0"/>
          <c:showVal val="0"/>
          <c:showCatName val="0"/>
          <c:showSerName val="0"/>
          <c:showPercent val="0"/>
          <c:showBubbleSize val="0"/>
        </c:dLbls>
        <c:smooth val="0"/>
        <c:axId val="1427077391"/>
        <c:axId val="1427078223"/>
      </c:lineChart>
      <c:catAx>
        <c:axId val="1427077391"/>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7078223"/>
        <c:crosses val="autoZero"/>
        <c:auto val="1"/>
        <c:lblAlgn val="ctr"/>
        <c:lblOffset val="100"/>
        <c:noMultiLvlLbl val="1"/>
      </c:catAx>
      <c:valAx>
        <c:axId val="14270782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707739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[complaints received.xlsx]Sheet1!PivotTable1</c:name>
    <c:fmtId val="-1"/>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Complaints received</a:t>
            </a:r>
            <a:r>
              <a:rPr lang="en-GB" sz="1200" b="1" baseline="0"/>
              <a:t> by Division and Subject</a:t>
            </a:r>
            <a:endParaRPr lang="en-GB" sz="1200" b="1"/>
          </a:p>
        </c:rich>
      </c:tx>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6"/>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3"/>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5"/>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lumMod val="60000"/>
            </a:schemeClr>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4"/>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2"/>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Sheet1!$B$3:$B$4</c:f>
              <c:strCache>
                <c:ptCount val="1"/>
                <c:pt idx="0">
                  <c:v>Clinical Support Services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Sheet1!$A$5:$A$15</c:f>
              <c:strCache>
                <c:ptCount val="10"/>
                <c:pt idx="0">
                  <c:v>Communication</c:v>
                </c:pt>
                <c:pt idx="1">
                  <c:v>Patient care</c:v>
                </c:pt>
                <c:pt idx="2">
                  <c:v>Values and behaviours</c:v>
                </c:pt>
                <c:pt idx="3">
                  <c:v>Clinical treatment - Obstetrics &amp; gynaecology</c:v>
                </c:pt>
                <c:pt idx="4">
                  <c:v>Clinical treatment - Surgical</c:v>
                </c:pt>
                <c:pt idx="5">
                  <c:v>Admission, discharge and transfers</c:v>
                </c:pt>
                <c:pt idx="6">
                  <c:v>Clinical Treatment - Accident &amp; emergency</c:v>
                </c:pt>
                <c:pt idx="7">
                  <c:v>Appointments</c:v>
                </c:pt>
                <c:pt idx="8">
                  <c:v>Clinical treatment - General medicine</c:v>
                </c:pt>
                <c:pt idx="9">
                  <c:v>Access to treatment or drugs</c:v>
                </c:pt>
              </c:strCache>
            </c:strRef>
          </c:cat>
          <c:val>
            <c:numRef>
              <c:f>Sheet1!$B$5:$B$15</c:f>
              <c:numCache>
                <c:formatCode>General</c:formatCode>
                <c:ptCount val="10"/>
                <c:pt idx="0">
                  <c:v>10</c:v>
                </c:pt>
                <c:pt idx="1">
                  <c:v>1</c:v>
                </c:pt>
                <c:pt idx="2">
                  <c:v>6</c:v>
                </c:pt>
                <c:pt idx="7">
                  <c:v>2</c:v>
                </c:pt>
                <c:pt idx="9">
                  <c:v>1</c:v>
                </c:pt>
              </c:numCache>
            </c:numRef>
          </c:val>
          <c:extLst>
            <c:ext xmlns:c16="http://schemas.microsoft.com/office/drawing/2014/chart" uri="{C3380CC4-5D6E-409C-BE32-E72D297353CC}">
              <c16:uniqueId val="{00000000-D94F-425A-8CDE-4C96B247FD4B}"/>
            </c:ext>
          </c:extLst>
        </c:ser>
        <c:ser>
          <c:idx val="1"/>
          <c:order val="1"/>
          <c:tx>
            <c:strRef>
              <c:f>Sheet1!$C$3:$C$4</c:f>
              <c:strCache>
                <c:ptCount val="1"/>
                <c:pt idx="0">
                  <c:v>Corporate functions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Sheet1!$A$5:$A$15</c:f>
              <c:strCache>
                <c:ptCount val="10"/>
                <c:pt idx="0">
                  <c:v>Communication</c:v>
                </c:pt>
                <c:pt idx="1">
                  <c:v>Patient care</c:v>
                </c:pt>
                <c:pt idx="2">
                  <c:v>Values and behaviours</c:v>
                </c:pt>
                <c:pt idx="3">
                  <c:v>Clinical treatment - Obstetrics &amp; gynaecology</c:v>
                </c:pt>
                <c:pt idx="4">
                  <c:v>Clinical treatment - Surgical</c:v>
                </c:pt>
                <c:pt idx="5">
                  <c:v>Admission, discharge and transfers</c:v>
                </c:pt>
                <c:pt idx="6">
                  <c:v>Clinical Treatment - Accident &amp; emergency</c:v>
                </c:pt>
                <c:pt idx="7">
                  <c:v>Appointments</c:v>
                </c:pt>
                <c:pt idx="8">
                  <c:v>Clinical treatment - General medicine</c:v>
                </c:pt>
                <c:pt idx="9">
                  <c:v>Access to treatment or drugs</c:v>
                </c:pt>
              </c:strCache>
            </c:strRef>
          </c:cat>
          <c:val>
            <c:numRef>
              <c:f>Sheet1!$C$5:$C$15</c:f>
              <c:numCache>
                <c:formatCode>General</c:formatCode>
                <c:ptCount val="10"/>
                <c:pt idx="0">
                  <c:v>4</c:v>
                </c:pt>
                <c:pt idx="1">
                  <c:v>3</c:v>
                </c:pt>
                <c:pt idx="2">
                  <c:v>3</c:v>
                </c:pt>
              </c:numCache>
            </c:numRef>
          </c:val>
          <c:extLst>
            <c:ext xmlns:c16="http://schemas.microsoft.com/office/drawing/2014/chart" uri="{C3380CC4-5D6E-409C-BE32-E72D297353CC}">
              <c16:uniqueId val="{00000001-D94F-425A-8CDE-4C96B247FD4B}"/>
            </c:ext>
          </c:extLst>
        </c:ser>
        <c:ser>
          <c:idx val="2"/>
          <c:order val="2"/>
          <c:tx>
            <c:strRef>
              <c:f>Sheet1!$D$3:$D$4</c:f>
              <c:strCache>
                <c:ptCount val="1"/>
                <c:pt idx="0">
                  <c:v>Emergency and Integrated Care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Sheet1!$A$5:$A$15</c:f>
              <c:strCache>
                <c:ptCount val="10"/>
                <c:pt idx="0">
                  <c:v>Communication</c:v>
                </c:pt>
                <c:pt idx="1">
                  <c:v>Patient care</c:v>
                </c:pt>
                <c:pt idx="2">
                  <c:v>Values and behaviours</c:v>
                </c:pt>
                <c:pt idx="3">
                  <c:v>Clinical treatment - Obstetrics &amp; gynaecology</c:v>
                </c:pt>
                <c:pt idx="4">
                  <c:v>Clinical treatment - Surgical</c:v>
                </c:pt>
                <c:pt idx="5">
                  <c:v>Admission, discharge and transfers</c:v>
                </c:pt>
                <c:pt idx="6">
                  <c:v>Clinical Treatment - Accident &amp; emergency</c:v>
                </c:pt>
                <c:pt idx="7">
                  <c:v>Appointments</c:v>
                </c:pt>
                <c:pt idx="8">
                  <c:v>Clinical treatment - General medicine</c:v>
                </c:pt>
                <c:pt idx="9">
                  <c:v>Access to treatment or drugs</c:v>
                </c:pt>
              </c:strCache>
            </c:strRef>
          </c:cat>
          <c:val>
            <c:numRef>
              <c:f>Sheet1!$D$5:$D$15</c:f>
              <c:numCache>
                <c:formatCode>General</c:formatCode>
                <c:ptCount val="10"/>
                <c:pt idx="0">
                  <c:v>21</c:v>
                </c:pt>
                <c:pt idx="1">
                  <c:v>39</c:v>
                </c:pt>
                <c:pt idx="2">
                  <c:v>10</c:v>
                </c:pt>
                <c:pt idx="5">
                  <c:v>13</c:v>
                </c:pt>
                <c:pt idx="6">
                  <c:v>22</c:v>
                </c:pt>
                <c:pt idx="7">
                  <c:v>1</c:v>
                </c:pt>
                <c:pt idx="8">
                  <c:v>11</c:v>
                </c:pt>
                <c:pt idx="9">
                  <c:v>2</c:v>
                </c:pt>
              </c:numCache>
            </c:numRef>
          </c:val>
          <c:extLst>
            <c:ext xmlns:c16="http://schemas.microsoft.com/office/drawing/2014/chart" uri="{C3380CC4-5D6E-409C-BE32-E72D297353CC}">
              <c16:uniqueId val="{00000002-D94F-425A-8CDE-4C96B247FD4B}"/>
            </c:ext>
          </c:extLst>
        </c:ser>
        <c:ser>
          <c:idx val="3"/>
          <c:order val="3"/>
          <c:tx>
            <c:strRef>
              <c:f>Sheet1!$E$3:$E$4</c:f>
              <c:strCache>
                <c:ptCount val="1"/>
                <c:pt idx="0">
                  <c:v>Enterprise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Sheet1!$A$5:$A$15</c:f>
              <c:strCache>
                <c:ptCount val="10"/>
                <c:pt idx="0">
                  <c:v>Communication</c:v>
                </c:pt>
                <c:pt idx="1">
                  <c:v>Patient care</c:v>
                </c:pt>
                <c:pt idx="2">
                  <c:v>Values and behaviours</c:v>
                </c:pt>
                <c:pt idx="3">
                  <c:v>Clinical treatment - Obstetrics &amp; gynaecology</c:v>
                </c:pt>
                <c:pt idx="4">
                  <c:v>Clinical treatment - Surgical</c:v>
                </c:pt>
                <c:pt idx="5">
                  <c:v>Admission, discharge and transfers</c:v>
                </c:pt>
                <c:pt idx="6">
                  <c:v>Clinical Treatment - Accident &amp; emergency</c:v>
                </c:pt>
                <c:pt idx="7">
                  <c:v>Appointments</c:v>
                </c:pt>
                <c:pt idx="8">
                  <c:v>Clinical treatment - General medicine</c:v>
                </c:pt>
                <c:pt idx="9">
                  <c:v>Access to treatment or drugs</c:v>
                </c:pt>
              </c:strCache>
            </c:strRef>
          </c:cat>
          <c:val>
            <c:numRef>
              <c:f>Sheet1!$E$5:$E$15</c:f>
              <c:numCache>
                <c:formatCode>General</c:formatCode>
                <c:ptCount val="10"/>
                <c:pt idx="1">
                  <c:v>3</c:v>
                </c:pt>
                <c:pt idx="2">
                  <c:v>4</c:v>
                </c:pt>
                <c:pt idx="5">
                  <c:v>1</c:v>
                </c:pt>
                <c:pt idx="7">
                  <c:v>1</c:v>
                </c:pt>
              </c:numCache>
            </c:numRef>
          </c:val>
          <c:extLst>
            <c:ext xmlns:c16="http://schemas.microsoft.com/office/drawing/2014/chart" uri="{C3380CC4-5D6E-409C-BE32-E72D297353CC}">
              <c16:uniqueId val="{00000003-D94F-425A-8CDE-4C96B247FD4B}"/>
            </c:ext>
          </c:extLst>
        </c:ser>
        <c:ser>
          <c:idx val="4"/>
          <c:order val="4"/>
          <c:tx>
            <c:strRef>
              <c:f>Sheet1!$F$3:$F$4</c:f>
              <c:strCache>
                <c:ptCount val="1"/>
                <c:pt idx="0">
                  <c:v>Planned Care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Sheet1!$A$5:$A$15</c:f>
              <c:strCache>
                <c:ptCount val="10"/>
                <c:pt idx="0">
                  <c:v>Communication</c:v>
                </c:pt>
                <c:pt idx="1">
                  <c:v>Patient care</c:v>
                </c:pt>
                <c:pt idx="2">
                  <c:v>Values and behaviours</c:v>
                </c:pt>
                <c:pt idx="3">
                  <c:v>Clinical treatment - Obstetrics &amp; gynaecology</c:v>
                </c:pt>
                <c:pt idx="4">
                  <c:v>Clinical treatment - Surgical</c:v>
                </c:pt>
                <c:pt idx="5">
                  <c:v>Admission, discharge and transfers</c:v>
                </c:pt>
                <c:pt idx="6">
                  <c:v>Clinical Treatment - Accident &amp; emergency</c:v>
                </c:pt>
                <c:pt idx="7">
                  <c:v>Appointments</c:v>
                </c:pt>
                <c:pt idx="8">
                  <c:v>Clinical treatment - General medicine</c:v>
                </c:pt>
                <c:pt idx="9">
                  <c:v>Access to treatment or drugs</c:v>
                </c:pt>
              </c:strCache>
            </c:strRef>
          </c:cat>
          <c:val>
            <c:numRef>
              <c:f>Sheet1!$F$5:$F$15</c:f>
              <c:numCache>
                <c:formatCode>General</c:formatCode>
                <c:ptCount val="10"/>
                <c:pt idx="0">
                  <c:v>37</c:v>
                </c:pt>
                <c:pt idx="1">
                  <c:v>21</c:v>
                </c:pt>
                <c:pt idx="2">
                  <c:v>14</c:v>
                </c:pt>
                <c:pt idx="4">
                  <c:v>37</c:v>
                </c:pt>
                <c:pt idx="5">
                  <c:v>10</c:v>
                </c:pt>
                <c:pt idx="7">
                  <c:v>7</c:v>
                </c:pt>
                <c:pt idx="9">
                  <c:v>3</c:v>
                </c:pt>
              </c:numCache>
            </c:numRef>
          </c:val>
          <c:extLst>
            <c:ext xmlns:c16="http://schemas.microsoft.com/office/drawing/2014/chart" uri="{C3380CC4-5D6E-409C-BE32-E72D297353CC}">
              <c16:uniqueId val="{00000004-D94F-425A-8CDE-4C96B247FD4B}"/>
            </c:ext>
          </c:extLst>
        </c:ser>
        <c:ser>
          <c:idx val="5"/>
          <c:order val="5"/>
          <c:tx>
            <c:strRef>
              <c:f>Sheet1!$G$3:$G$4</c:f>
              <c:strCache>
                <c:ptCount val="1"/>
                <c:pt idx="0">
                  <c:v>Specialist Care (Womens, Neonates, HIV, GUM and Dermatology)</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Sheet1!$A$5:$A$15</c:f>
              <c:strCache>
                <c:ptCount val="10"/>
                <c:pt idx="0">
                  <c:v>Communication</c:v>
                </c:pt>
                <c:pt idx="1">
                  <c:v>Patient care</c:v>
                </c:pt>
                <c:pt idx="2">
                  <c:v>Values and behaviours</c:v>
                </c:pt>
                <c:pt idx="3">
                  <c:v>Clinical treatment - Obstetrics &amp; gynaecology</c:v>
                </c:pt>
                <c:pt idx="4">
                  <c:v>Clinical treatment - Surgical</c:v>
                </c:pt>
                <c:pt idx="5">
                  <c:v>Admission, discharge and transfers</c:v>
                </c:pt>
                <c:pt idx="6">
                  <c:v>Clinical Treatment - Accident &amp; emergency</c:v>
                </c:pt>
                <c:pt idx="7">
                  <c:v>Appointments</c:v>
                </c:pt>
                <c:pt idx="8">
                  <c:v>Clinical treatment - General medicine</c:v>
                </c:pt>
                <c:pt idx="9">
                  <c:v>Access to treatment or drugs</c:v>
                </c:pt>
              </c:strCache>
            </c:strRef>
          </c:cat>
          <c:val>
            <c:numRef>
              <c:f>Sheet1!$G$5:$G$15</c:f>
              <c:numCache>
                <c:formatCode>General</c:formatCode>
                <c:ptCount val="10"/>
                <c:pt idx="0">
                  <c:v>29</c:v>
                </c:pt>
                <c:pt idx="1">
                  <c:v>13</c:v>
                </c:pt>
                <c:pt idx="2">
                  <c:v>14</c:v>
                </c:pt>
                <c:pt idx="3">
                  <c:v>44</c:v>
                </c:pt>
                <c:pt idx="4">
                  <c:v>3</c:v>
                </c:pt>
                <c:pt idx="5">
                  <c:v>1</c:v>
                </c:pt>
                <c:pt idx="7">
                  <c:v>7</c:v>
                </c:pt>
                <c:pt idx="9">
                  <c:v>2</c:v>
                </c:pt>
              </c:numCache>
            </c:numRef>
          </c:val>
          <c:extLst>
            <c:ext xmlns:c16="http://schemas.microsoft.com/office/drawing/2014/chart" uri="{C3380CC4-5D6E-409C-BE32-E72D297353CC}">
              <c16:uniqueId val="{00000005-D94F-425A-8CDE-4C96B247FD4B}"/>
            </c:ext>
          </c:extLst>
        </c:ser>
        <c:ser>
          <c:idx val="6"/>
          <c:order val="6"/>
          <c:tx>
            <c:strRef>
              <c:f>Sheet1!$H$3:$H$4</c:f>
              <c:strCache>
                <c:ptCount val="1"/>
                <c:pt idx="0">
                  <c:v>West London Childrens Healthcare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Sheet1!$A$5:$A$15</c:f>
              <c:strCache>
                <c:ptCount val="10"/>
                <c:pt idx="0">
                  <c:v>Communication</c:v>
                </c:pt>
                <c:pt idx="1">
                  <c:v>Patient care</c:v>
                </c:pt>
                <c:pt idx="2">
                  <c:v>Values and behaviours</c:v>
                </c:pt>
                <c:pt idx="3">
                  <c:v>Clinical treatment - Obstetrics &amp; gynaecology</c:v>
                </c:pt>
                <c:pt idx="4">
                  <c:v>Clinical treatment - Surgical</c:v>
                </c:pt>
                <c:pt idx="5">
                  <c:v>Admission, discharge and transfers</c:v>
                </c:pt>
                <c:pt idx="6">
                  <c:v>Clinical Treatment - Accident &amp; emergency</c:v>
                </c:pt>
                <c:pt idx="7">
                  <c:v>Appointments</c:v>
                </c:pt>
                <c:pt idx="8">
                  <c:v>Clinical treatment - General medicine</c:v>
                </c:pt>
                <c:pt idx="9">
                  <c:v>Access to treatment or drugs</c:v>
                </c:pt>
              </c:strCache>
            </c:strRef>
          </c:cat>
          <c:val>
            <c:numRef>
              <c:f>Sheet1!$H$5:$H$15</c:f>
              <c:numCache>
                <c:formatCode>General</c:formatCode>
                <c:ptCount val="10"/>
                <c:pt idx="0">
                  <c:v>5</c:v>
                </c:pt>
                <c:pt idx="1">
                  <c:v>1</c:v>
                </c:pt>
                <c:pt idx="2">
                  <c:v>4</c:v>
                </c:pt>
                <c:pt idx="4">
                  <c:v>2</c:v>
                </c:pt>
                <c:pt idx="6">
                  <c:v>2</c:v>
                </c:pt>
                <c:pt idx="9">
                  <c:v>1</c:v>
                </c:pt>
              </c:numCache>
            </c:numRef>
          </c:val>
          <c:extLst>
            <c:ext xmlns:c16="http://schemas.microsoft.com/office/drawing/2014/chart" uri="{C3380CC4-5D6E-409C-BE32-E72D297353CC}">
              <c16:uniqueId val="{00000006-D94F-425A-8CDE-4C96B247FD4B}"/>
            </c:ext>
          </c:extLst>
        </c:ser>
        <c:dLbls>
          <c:showLegendKey val="0"/>
          <c:showVal val="0"/>
          <c:showCatName val="0"/>
          <c:showSerName val="0"/>
          <c:showPercent val="0"/>
          <c:showBubbleSize val="0"/>
        </c:dLbls>
        <c:gapWidth val="219"/>
        <c:overlap val="-27"/>
        <c:axId val="817637552"/>
        <c:axId val="817637968"/>
      </c:barChart>
      <c:catAx>
        <c:axId val="81763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7637968"/>
        <c:crosses val="autoZero"/>
        <c:auto val="1"/>
        <c:lblAlgn val="ctr"/>
        <c:lblOffset val="100"/>
        <c:noMultiLvlLbl val="0"/>
      </c:catAx>
      <c:valAx>
        <c:axId val="817637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763755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[complaints received.xlsx]Sheet1!PivotTable1</c:name>
    <c:fmtId val="-1"/>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Complaints received</a:t>
            </a:r>
            <a:r>
              <a:rPr lang="en-GB" sz="1200" b="1" baseline="0"/>
              <a:t> by Division and Sub-subject</a:t>
            </a:r>
            <a:endParaRPr lang="en-GB" sz="1200" b="1"/>
          </a:p>
        </c:rich>
      </c:tx>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Sheet1!$B$3:$B$4</c:f>
              <c:strCache>
                <c:ptCount val="1"/>
                <c:pt idx="0">
                  <c:v>Clinical Support Services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Sheet1!$A$5:$A$15</c:f>
              <c:strCache>
                <c:ptCount val="10"/>
                <c:pt idx="0">
                  <c:v>Communication with patient</c:v>
                </c:pt>
                <c:pt idx="1">
                  <c:v>Other - Patient Care</c:v>
                </c:pt>
                <c:pt idx="2">
                  <c:v>Care needs not adequately met</c:v>
                </c:pt>
                <c:pt idx="3">
                  <c:v>Attitude of Medical Staff</c:v>
                </c:pt>
                <c:pt idx="4">
                  <c:v>Attitude of Nursing Staff/Midwives</c:v>
                </c:pt>
                <c:pt idx="5">
                  <c:v>Failure to act in a professional manner</c:v>
                </c:pt>
                <c:pt idx="6">
                  <c:v>Care needs not identified (inc e.g. therapy needs)</c:v>
                </c:pt>
                <c:pt idx="7">
                  <c:v>Communication with relatives/carers</c:v>
                </c:pt>
                <c:pt idx="8">
                  <c:v>Other (Obs Gyn)</c:v>
                </c:pt>
                <c:pt idx="9">
                  <c:v>Patient not listened to</c:v>
                </c:pt>
              </c:strCache>
            </c:strRef>
          </c:cat>
          <c:val>
            <c:numRef>
              <c:f>Sheet1!$B$5:$B$15</c:f>
              <c:numCache>
                <c:formatCode>General</c:formatCode>
                <c:ptCount val="10"/>
                <c:pt idx="0">
                  <c:v>3</c:v>
                </c:pt>
                <c:pt idx="1">
                  <c:v>1</c:v>
                </c:pt>
                <c:pt idx="3">
                  <c:v>1</c:v>
                </c:pt>
                <c:pt idx="5">
                  <c:v>1</c:v>
                </c:pt>
                <c:pt idx="9">
                  <c:v>1</c:v>
                </c:pt>
              </c:numCache>
            </c:numRef>
          </c:val>
          <c:extLst>
            <c:ext xmlns:c16="http://schemas.microsoft.com/office/drawing/2014/chart" uri="{C3380CC4-5D6E-409C-BE32-E72D297353CC}">
              <c16:uniqueId val="{00000000-9709-4A4E-8F75-42637455F799}"/>
            </c:ext>
          </c:extLst>
        </c:ser>
        <c:ser>
          <c:idx val="1"/>
          <c:order val="1"/>
          <c:tx>
            <c:strRef>
              <c:f>Sheet1!$C$3:$C$4</c:f>
              <c:strCache>
                <c:ptCount val="1"/>
                <c:pt idx="0">
                  <c:v>Corporate functions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Sheet1!$A$5:$A$15</c:f>
              <c:strCache>
                <c:ptCount val="10"/>
                <c:pt idx="0">
                  <c:v>Communication with patient</c:v>
                </c:pt>
                <c:pt idx="1">
                  <c:v>Other - Patient Care</c:v>
                </c:pt>
                <c:pt idx="2">
                  <c:v>Care needs not adequately met</c:v>
                </c:pt>
                <c:pt idx="3">
                  <c:v>Attitude of Medical Staff</c:v>
                </c:pt>
                <c:pt idx="4">
                  <c:v>Attitude of Nursing Staff/Midwives</c:v>
                </c:pt>
                <c:pt idx="5">
                  <c:v>Failure to act in a professional manner</c:v>
                </c:pt>
                <c:pt idx="6">
                  <c:v>Care needs not identified (inc e.g. therapy needs)</c:v>
                </c:pt>
                <c:pt idx="7">
                  <c:v>Communication with relatives/carers</c:v>
                </c:pt>
                <c:pt idx="8">
                  <c:v>Other (Obs Gyn)</c:v>
                </c:pt>
                <c:pt idx="9">
                  <c:v>Patient not listened to</c:v>
                </c:pt>
              </c:strCache>
            </c:strRef>
          </c:cat>
          <c:val>
            <c:numRef>
              <c:f>Sheet1!$C$5:$C$15</c:f>
              <c:numCache>
                <c:formatCode>General</c:formatCode>
                <c:ptCount val="10"/>
                <c:pt idx="0">
                  <c:v>1</c:v>
                </c:pt>
                <c:pt idx="5">
                  <c:v>2</c:v>
                </c:pt>
              </c:numCache>
            </c:numRef>
          </c:val>
          <c:extLst>
            <c:ext xmlns:c16="http://schemas.microsoft.com/office/drawing/2014/chart" uri="{C3380CC4-5D6E-409C-BE32-E72D297353CC}">
              <c16:uniqueId val="{00000001-9709-4A4E-8F75-42637455F799}"/>
            </c:ext>
          </c:extLst>
        </c:ser>
        <c:ser>
          <c:idx val="2"/>
          <c:order val="2"/>
          <c:tx>
            <c:strRef>
              <c:f>Sheet1!$D$3:$D$4</c:f>
              <c:strCache>
                <c:ptCount val="1"/>
                <c:pt idx="0">
                  <c:v>Emergency and Integrated Care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Sheet1!$A$5:$A$15</c:f>
              <c:strCache>
                <c:ptCount val="10"/>
                <c:pt idx="0">
                  <c:v>Communication with patient</c:v>
                </c:pt>
                <c:pt idx="1">
                  <c:v>Other - Patient Care</c:v>
                </c:pt>
                <c:pt idx="2">
                  <c:v>Care needs not adequately met</c:v>
                </c:pt>
                <c:pt idx="3">
                  <c:v>Attitude of Medical Staff</c:v>
                </c:pt>
                <c:pt idx="4">
                  <c:v>Attitude of Nursing Staff/Midwives</c:v>
                </c:pt>
                <c:pt idx="5">
                  <c:v>Failure to act in a professional manner</c:v>
                </c:pt>
                <c:pt idx="6">
                  <c:v>Care needs not identified (inc e.g. therapy needs)</c:v>
                </c:pt>
                <c:pt idx="7">
                  <c:v>Communication with relatives/carers</c:v>
                </c:pt>
                <c:pt idx="8">
                  <c:v>Other (Obs Gyn)</c:v>
                </c:pt>
                <c:pt idx="9">
                  <c:v>Patient not listened to</c:v>
                </c:pt>
              </c:strCache>
            </c:strRef>
          </c:cat>
          <c:val>
            <c:numRef>
              <c:f>Sheet1!$D$5:$D$15</c:f>
              <c:numCache>
                <c:formatCode>General</c:formatCode>
                <c:ptCount val="10"/>
                <c:pt idx="0">
                  <c:v>6</c:v>
                </c:pt>
                <c:pt idx="1">
                  <c:v>10</c:v>
                </c:pt>
                <c:pt idx="2">
                  <c:v>12</c:v>
                </c:pt>
                <c:pt idx="3">
                  <c:v>2</c:v>
                </c:pt>
                <c:pt idx="4">
                  <c:v>2</c:v>
                </c:pt>
                <c:pt idx="5">
                  <c:v>5</c:v>
                </c:pt>
                <c:pt idx="6">
                  <c:v>10</c:v>
                </c:pt>
                <c:pt idx="7">
                  <c:v>9</c:v>
                </c:pt>
                <c:pt idx="9">
                  <c:v>1</c:v>
                </c:pt>
              </c:numCache>
            </c:numRef>
          </c:val>
          <c:extLst>
            <c:ext xmlns:c16="http://schemas.microsoft.com/office/drawing/2014/chart" uri="{C3380CC4-5D6E-409C-BE32-E72D297353CC}">
              <c16:uniqueId val="{00000002-9709-4A4E-8F75-42637455F799}"/>
            </c:ext>
          </c:extLst>
        </c:ser>
        <c:ser>
          <c:idx val="3"/>
          <c:order val="3"/>
          <c:tx>
            <c:strRef>
              <c:f>Sheet1!$E$3:$E$4</c:f>
              <c:strCache>
                <c:ptCount val="1"/>
                <c:pt idx="0">
                  <c:v>Enterprise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Sheet1!$A$5:$A$15</c:f>
              <c:strCache>
                <c:ptCount val="10"/>
                <c:pt idx="0">
                  <c:v>Communication with patient</c:v>
                </c:pt>
                <c:pt idx="1">
                  <c:v>Other - Patient Care</c:v>
                </c:pt>
                <c:pt idx="2">
                  <c:v>Care needs not adequately met</c:v>
                </c:pt>
                <c:pt idx="3">
                  <c:v>Attitude of Medical Staff</c:v>
                </c:pt>
                <c:pt idx="4">
                  <c:v>Attitude of Nursing Staff/Midwives</c:v>
                </c:pt>
                <c:pt idx="5">
                  <c:v>Failure to act in a professional manner</c:v>
                </c:pt>
                <c:pt idx="6">
                  <c:v>Care needs not identified (inc e.g. therapy needs)</c:v>
                </c:pt>
                <c:pt idx="7">
                  <c:v>Communication with relatives/carers</c:v>
                </c:pt>
                <c:pt idx="8">
                  <c:v>Other (Obs Gyn)</c:v>
                </c:pt>
                <c:pt idx="9">
                  <c:v>Patient not listened to</c:v>
                </c:pt>
              </c:strCache>
            </c:strRef>
          </c:cat>
          <c:val>
            <c:numRef>
              <c:f>Sheet1!$E$5:$E$15</c:f>
              <c:numCache>
                <c:formatCode>General</c:formatCode>
                <c:ptCount val="10"/>
                <c:pt idx="1">
                  <c:v>2</c:v>
                </c:pt>
                <c:pt idx="4">
                  <c:v>2</c:v>
                </c:pt>
              </c:numCache>
            </c:numRef>
          </c:val>
          <c:extLst>
            <c:ext xmlns:c16="http://schemas.microsoft.com/office/drawing/2014/chart" uri="{C3380CC4-5D6E-409C-BE32-E72D297353CC}">
              <c16:uniqueId val="{00000003-9709-4A4E-8F75-42637455F799}"/>
            </c:ext>
          </c:extLst>
        </c:ser>
        <c:ser>
          <c:idx val="4"/>
          <c:order val="4"/>
          <c:tx>
            <c:strRef>
              <c:f>Sheet1!$F$3:$F$4</c:f>
              <c:strCache>
                <c:ptCount val="1"/>
                <c:pt idx="0">
                  <c:v>Planned Care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Sheet1!$A$5:$A$15</c:f>
              <c:strCache>
                <c:ptCount val="10"/>
                <c:pt idx="0">
                  <c:v>Communication with patient</c:v>
                </c:pt>
                <c:pt idx="1">
                  <c:v>Other - Patient Care</c:v>
                </c:pt>
                <c:pt idx="2">
                  <c:v>Care needs not adequately met</c:v>
                </c:pt>
                <c:pt idx="3">
                  <c:v>Attitude of Medical Staff</c:v>
                </c:pt>
                <c:pt idx="4">
                  <c:v>Attitude of Nursing Staff/Midwives</c:v>
                </c:pt>
                <c:pt idx="5">
                  <c:v>Failure to act in a professional manner</c:v>
                </c:pt>
                <c:pt idx="6">
                  <c:v>Care needs not identified (inc e.g. therapy needs)</c:v>
                </c:pt>
                <c:pt idx="7">
                  <c:v>Communication with relatives/carers</c:v>
                </c:pt>
                <c:pt idx="8">
                  <c:v>Other (Obs Gyn)</c:v>
                </c:pt>
                <c:pt idx="9">
                  <c:v>Patient not listened to</c:v>
                </c:pt>
              </c:strCache>
            </c:strRef>
          </c:cat>
          <c:val>
            <c:numRef>
              <c:f>Sheet1!$F$5:$F$15</c:f>
              <c:numCache>
                <c:formatCode>General</c:formatCode>
                <c:ptCount val="10"/>
                <c:pt idx="0">
                  <c:v>19</c:v>
                </c:pt>
                <c:pt idx="1">
                  <c:v>9</c:v>
                </c:pt>
                <c:pt idx="2">
                  <c:v>6</c:v>
                </c:pt>
                <c:pt idx="3">
                  <c:v>5</c:v>
                </c:pt>
                <c:pt idx="4">
                  <c:v>5</c:v>
                </c:pt>
                <c:pt idx="5">
                  <c:v>3</c:v>
                </c:pt>
                <c:pt idx="6">
                  <c:v>4</c:v>
                </c:pt>
                <c:pt idx="7">
                  <c:v>1</c:v>
                </c:pt>
                <c:pt idx="9">
                  <c:v>5</c:v>
                </c:pt>
              </c:numCache>
            </c:numRef>
          </c:val>
          <c:extLst>
            <c:ext xmlns:c16="http://schemas.microsoft.com/office/drawing/2014/chart" uri="{C3380CC4-5D6E-409C-BE32-E72D297353CC}">
              <c16:uniqueId val="{00000004-9709-4A4E-8F75-42637455F799}"/>
            </c:ext>
          </c:extLst>
        </c:ser>
        <c:ser>
          <c:idx val="5"/>
          <c:order val="5"/>
          <c:tx>
            <c:strRef>
              <c:f>Sheet1!$G$3:$G$4</c:f>
              <c:strCache>
                <c:ptCount val="1"/>
                <c:pt idx="0">
                  <c:v>Specialist Care (Womens, Neonates, HIV, GUM and Dermatology)</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Sheet1!$A$5:$A$15</c:f>
              <c:strCache>
                <c:ptCount val="10"/>
                <c:pt idx="0">
                  <c:v>Communication with patient</c:v>
                </c:pt>
                <c:pt idx="1">
                  <c:v>Other - Patient Care</c:v>
                </c:pt>
                <c:pt idx="2">
                  <c:v>Care needs not adequately met</c:v>
                </c:pt>
                <c:pt idx="3">
                  <c:v>Attitude of Medical Staff</c:v>
                </c:pt>
                <c:pt idx="4">
                  <c:v>Attitude of Nursing Staff/Midwives</c:v>
                </c:pt>
                <c:pt idx="5">
                  <c:v>Failure to act in a professional manner</c:v>
                </c:pt>
                <c:pt idx="6">
                  <c:v>Care needs not identified (inc e.g. therapy needs)</c:v>
                </c:pt>
                <c:pt idx="7">
                  <c:v>Communication with relatives/carers</c:v>
                </c:pt>
                <c:pt idx="8">
                  <c:v>Other (Obs Gyn)</c:v>
                </c:pt>
                <c:pt idx="9">
                  <c:v>Patient not listened to</c:v>
                </c:pt>
              </c:strCache>
            </c:strRef>
          </c:cat>
          <c:val>
            <c:numRef>
              <c:f>Sheet1!$G$5:$G$15</c:f>
              <c:numCache>
                <c:formatCode>General</c:formatCode>
                <c:ptCount val="10"/>
                <c:pt idx="0">
                  <c:v>14</c:v>
                </c:pt>
                <c:pt idx="1">
                  <c:v>9</c:v>
                </c:pt>
                <c:pt idx="2">
                  <c:v>3</c:v>
                </c:pt>
                <c:pt idx="3">
                  <c:v>6</c:v>
                </c:pt>
                <c:pt idx="4">
                  <c:v>5</c:v>
                </c:pt>
                <c:pt idx="5">
                  <c:v>2</c:v>
                </c:pt>
                <c:pt idx="7">
                  <c:v>3</c:v>
                </c:pt>
                <c:pt idx="8">
                  <c:v>12</c:v>
                </c:pt>
                <c:pt idx="9">
                  <c:v>4</c:v>
                </c:pt>
              </c:numCache>
            </c:numRef>
          </c:val>
          <c:extLst>
            <c:ext xmlns:c16="http://schemas.microsoft.com/office/drawing/2014/chart" uri="{C3380CC4-5D6E-409C-BE32-E72D297353CC}">
              <c16:uniqueId val="{00000005-9709-4A4E-8F75-42637455F799}"/>
            </c:ext>
          </c:extLst>
        </c:ser>
        <c:ser>
          <c:idx val="6"/>
          <c:order val="6"/>
          <c:tx>
            <c:strRef>
              <c:f>Sheet1!$H$3:$H$4</c:f>
              <c:strCache>
                <c:ptCount val="1"/>
                <c:pt idx="0">
                  <c:v>West London Childrens Healthcare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Sheet1!$A$5:$A$15</c:f>
              <c:strCache>
                <c:ptCount val="10"/>
                <c:pt idx="0">
                  <c:v>Communication with patient</c:v>
                </c:pt>
                <c:pt idx="1">
                  <c:v>Other - Patient Care</c:v>
                </c:pt>
                <c:pt idx="2">
                  <c:v>Care needs not adequately met</c:v>
                </c:pt>
                <c:pt idx="3">
                  <c:v>Attitude of Medical Staff</c:v>
                </c:pt>
                <c:pt idx="4">
                  <c:v>Attitude of Nursing Staff/Midwives</c:v>
                </c:pt>
                <c:pt idx="5">
                  <c:v>Failure to act in a professional manner</c:v>
                </c:pt>
                <c:pt idx="6">
                  <c:v>Care needs not identified (inc e.g. therapy needs)</c:v>
                </c:pt>
                <c:pt idx="7">
                  <c:v>Communication with relatives/carers</c:v>
                </c:pt>
                <c:pt idx="8">
                  <c:v>Other (Obs Gyn)</c:v>
                </c:pt>
                <c:pt idx="9">
                  <c:v>Patient not listened to</c:v>
                </c:pt>
              </c:strCache>
            </c:strRef>
          </c:cat>
          <c:val>
            <c:numRef>
              <c:f>Sheet1!$H$5:$H$15</c:f>
              <c:numCache>
                <c:formatCode>General</c:formatCode>
                <c:ptCount val="10"/>
                <c:pt idx="0">
                  <c:v>2</c:v>
                </c:pt>
                <c:pt idx="1">
                  <c:v>1</c:v>
                </c:pt>
                <c:pt idx="3">
                  <c:v>1</c:v>
                </c:pt>
                <c:pt idx="4">
                  <c:v>1</c:v>
                </c:pt>
                <c:pt idx="5">
                  <c:v>2</c:v>
                </c:pt>
                <c:pt idx="7">
                  <c:v>1</c:v>
                </c:pt>
              </c:numCache>
            </c:numRef>
          </c:val>
          <c:extLst>
            <c:ext xmlns:c16="http://schemas.microsoft.com/office/drawing/2014/chart" uri="{C3380CC4-5D6E-409C-BE32-E72D297353CC}">
              <c16:uniqueId val="{00000006-9709-4A4E-8F75-42637455F799}"/>
            </c:ext>
          </c:extLst>
        </c:ser>
        <c:dLbls>
          <c:showLegendKey val="0"/>
          <c:showVal val="0"/>
          <c:showCatName val="0"/>
          <c:showSerName val="0"/>
          <c:showPercent val="0"/>
          <c:showBubbleSize val="0"/>
        </c:dLbls>
        <c:gapWidth val="219"/>
        <c:overlap val="-27"/>
        <c:axId val="817637552"/>
        <c:axId val="817637968"/>
      </c:barChart>
      <c:catAx>
        <c:axId val="81763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7637968"/>
        <c:crosses val="autoZero"/>
        <c:auto val="1"/>
        <c:lblAlgn val="ctr"/>
        <c:lblOffset val="100"/>
        <c:noMultiLvlLbl val="0"/>
      </c:catAx>
      <c:valAx>
        <c:axId val="817637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763755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[complaints received.xlsx]Sheet1!PivotTable1</c:name>
    <c:fmtId val="-1"/>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Complaints received</a:t>
            </a:r>
            <a:r>
              <a:rPr lang="en-GB" sz="1200" b="1" baseline="0"/>
              <a:t> by Location</a:t>
            </a:r>
            <a:endParaRPr lang="en-GB" sz="1200" b="1"/>
          </a:p>
        </c:rich>
      </c:tx>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Sheet1!$B$3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Sheet1!$A$4:$A$14</c:f>
              <c:strCache>
                <c:ptCount val="10"/>
                <c:pt idx="0">
                  <c:v>Maternity Assessment Suite, 3rd Floor, ChelWest</c:v>
                </c:pt>
                <c:pt idx="1">
                  <c:v>Accident and Emergency Main Area, Ground Floor, ChelWest</c:v>
                </c:pt>
                <c:pt idx="2">
                  <c:v>Outpatients 2 - Gynaecology Department, ChelWest</c:v>
                </c:pt>
                <c:pt idx="3">
                  <c:v>Accident and Emergency Main Area, Ground Floor, Main Site, WestMid</c:v>
                </c:pt>
                <c:pt idx="4">
                  <c:v>Outpatients General Surgery &amp; Urology (Gate 2), Lower Ground Floor, ChelWest</c:v>
                </c:pt>
                <c:pt idx="5">
                  <c:v>OPD 3, WestMid</c:v>
                </c:pt>
                <c:pt idx="6">
                  <c:v>Daniel Turner Skin Unit, George Watts Ward, Dermatology, 1st Floor, ChelWest</c:v>
                </c:pt>
                <c:pt idx="7">
                  <c:v>OPD 2, WestMid</c:v>
                </c:pt>
                <c:pt idx="8">
                  <c:v>Acute Medical Unit, WestMid</c:v>
                </c:pt>
                <c:pt idx="9">
                  <c:v>Osterley 2 Ward, 3rd Floor, Main Site, WestMid</c:v>
                </c:pt>
              </c:strCache>
            </c:strRef>
          </c:cat>
          <c:val>
            <c:numRef>
              <c:f>Sheet1!$B$4:$B$14</c:f>
              <c:numCache>
                <c:formatCode>General</c:formatCode>
                <c:ptCount val="10"/>
                <c:pt idx="0">
                  <c:v>34</c:v>
                </c:pt>
                <c:pt idx="1">
                  <c:v>29</c:v>
                </c:pt>
                <c:pt idx="2">
                  <c:v>20</c:v>
                </c:pt>
                <c:pt idx="3">
                  <c:v>19</c:v>
                </c:pt>
                <c:pt idx="4">
                  <c:v>18</c:v>
                </c:pt>
                <c:pt idx="5">
                  <c:v>15</c:v>
                </c:pt>
                <c:pt idx="6">
                  <c:v>13</c:v>
                </c:pt>
                <c:pt idx="7">
                  <c:v>13</c:v>
                </c:pt>
                <c:pt idx="8">
                  <c:v>12</c:v>
                </c:pt>
                <c:pt idx="9">
                  <c:v>11</c:v>
                </c:pt>
              </c:numCache>
            </c:numRef>
          </c:val>
          <c:extLst>
            <c:ext xmlns:c16="http://schemas.microsoft.com/office/drawing/2014/chart" uri="{C3380CC4-5D6E-409C-BE32-E72D297353CC}">
              <c16:uniqueId val="{00000000-147A-4C9A-9FF8-E952E02EFF78}"/>
            </c:ext>
          </c:extLst>
        </c:ser>
        <c:dLbls>
          <c:showLegendKey val="0"/>
          <c:showVal val="0"/>
          <c:showCatName val="0"/>
          <c:showSerName val="0"/>
          <c:showPercent val="0"/>
          <c:showBubbleSize val="0"/>
        </c:dLbls>
        <c:gapWidth val="219"/>
        <c:overlap val="-27"/>
        <c:axId val="817637552"/>
        <c:axId val="817637968"/>
      </c:barChart>
      <c:catAx>
        <c:axId val="81763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7637968"/>
        <c:crosses val="autoZero"/>
        <c:auto val="1"/>
        <c:lblAlgn val="ctr"/>
        <c:lblOffset val="100"/>
        <c:noMultiLvlLbl val="0"/>
      </c:catAx>
      <c:valAx>
        <c:axId val="817637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7637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[complaints received (version 2).xlsb]Sheet1!PivotTable1</c:name>
    <c:fmtId val="-1"/>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Complaints received</a:t>
            </a:r>
            <a:r>
              <a:rPr lang="en-GB" sz="1200" b="1" baseline="0"/>
              <a:t> for the MAS</a:t>
            </a:r>
          </a:p>
          <a:p>
            <a:pPr>
              <a:defRPr sz="1200" b="1"/>
            </a:pPr>
            <a:r>
              <a:rPr lang="en-GB" sz="1200" b="1" baseline="0"/>
              <a:t>April 2023-Mar 2024</a:t>
            </a:r>
            <a:endParaRPr lang="en-GB" sz="1200" b="1"/>
          </a:p>
        </c:rich>
      </c:tx>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w="28575" cap="rnd">
            <a:solidFill>
              <a:schemeClr val="accent1"/>
            </a:solidFill>
            <a:round/>
          </a:ln>
          <a:effectLst/>
        </c:spPr>
      </c:pivotFmt>
      <c:pivotFmt>
        <c:idx val="2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Sheet1!$B$3:$B$4</c:f>
              <c:strCache>
                <c:ptCount val="1"/>
                <c:pt idx="0">
                  <c:v>Maternity Assessment Suite, 3rd Floor, ChelWest</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Sheet1!$A$5:$A$14</c:f>
              <c:strCache>
                <c:ptCount val="9"/>
                <c:pt idx="0">
                  <c:v>Apr</c:v>
                </c:pt>
                <c:pt idx="1">
                  <c:v>May</c:v>
                </c:pt>
                <c:pt idx="2">
                  <c:v>Jun</c:v>
                </c:pt>
                <c:pt idx="3">
                  <c:v>Jul</c:v>
                </c:pt>
                <c:pt idx="4">
                  <c:v>Aug</c:v>
                </c:pt>
                <c:pt idx="5">
                  <c:v>Sep</c:v>
                </c:pt>
                <c:pt idx="6">
                  <c:v>Nov</c:v>
                </c:pt>
                <c:pt idx="7">
                  <c:v>Feb</c:v>
                </c:pt>
                <c:pt idx="8">
                  <c:v>Mar</c:v>
                </c:pt>
              </c:strCache>
            </c:strRef>
          </c:cat>
          <c:val>
            <c:numRef>
              <c:f>Sheet1!$B$5:$B$14</c:f>
              <c:numCache>
                <c:formatCode>General</c:formatCode>
                <c:ptCount val="9"/>
                <c:pt idx="0">
                  <c:v>4</c:v>
                </c:pt>
                <c:pt idx="1">
                  <c:v>5</c:v>
                </c:pt>
                <c:pt idx="2">
                  <c:v>1</c:v>
                </c:pt>
                <c:pt idx="3">
                  <c:v>1</c:v>
                </c:pt>
                <c:pt idx="4">
                  <c:v>5</c:v>
                </c:pt>
                <c:pt idx="5">
                  <c:v>6</c:v>
                </c:pt>
                <c:pt idx="6">
                  <c:v>8</c:v>
                </c:pt>
                <c:pt idx="7">
                  <c:v>3</c:v>
                </c:pt>
                <c:pt idx="8">
                  <c:v>1</c:v>
                </c:pt>
              </c:numCache>
            </c:numRef>
          </c:val>
          <c:smooth val="0"/>
          <c:extLst>
            <c:ext xmlns:c16="http://schemas.microsoft.com/office/drawing/2014/chart" uri="{C3380CC4-5D6E-409C-BE32-E72D297353CC}">
              <c16:uniqueId val="{00000000-39EF-49A0-B92D-6D32C1809E54}"/>
            </c:ext>
          </c:extLst>
        </c:ser>
        <c:dLbls>
          <c:showLegendKey val="0"/>
          <c:showVal val="0"/>
          <c:showCatName val="0"/>
          <c:showSerName val="0"/>
          <c:showPercent val="0"/>
          <c:showBubbleSize val="0"/>
        </c:dLbls>
        <c:smooth val="0"/>
        <c:axId val="817637552"/>
        <c:axId val="817637968"/>
      </c:lineChart>
      <c:catAx>
        <c:axId val="81763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7637968"/>
        <c:crosses val="autoZero"/>
        <c:auto val="1"/>
        <c:lblAlgn val="ctr"/>
        <c:lblOffset val="100"/>
        <c:noMultiLvlLbl val="0"/>
      </c:catAx>
      <c:valAx>
        <c:axId val="817637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7637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[maternity complaints theme.xlsx]Sheet1!PivotTable1</c:name>
    <c:fmtId val="-1"/>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Themes</a:t>
            </a:r>
            <a:r>
              <a:rPr lang="en-US" sz="1200" b="1" baseline="0"/>
              <a:t> from MAS complaints</a:t>
            </a:r>
            <a:endParaRPr lang="en-US" sz="1200" b="1"/>
          </a:p>
        </c:rich>
      </c:tx>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Sheet1!$B$3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Sheet1!$A$4:$A$9</c:f>
              <c:strCache>
                <c:ptCount val="5"/>
                <c:pt idx="0">
                  <c:v>Clinical treatment - Obstetrics &amp; gynaecology</c:v>
                </c:pt>
                <c:pt idx="1">
                  <c:v>Patient care</c:v>
                </c:pt>
                <c:pt idx="2">
                  <c:v>Values and behaviours</c:v>
                </c:pt>
                <c:pt idx="3">
                  <c:v>Communication</c:v>
                </c:pt>
                <c:pt idx="4">
                  <c:v>Consent to treatment</c:v>
                </c:pt>
              </c:strCache>
            </c:strRef>
          </c:cat>
          <c:val>
            <c:numRef>
              <c:f>Sheet1!$B$4:$B$9</c:f>
              <c:numCache>
                <c:formatCode>General</c:formatCode>
                <c:ptCount val="5"/>
                <c:pt idx="0">
                  <c:v>19</c:v>
                </c:pt>
                <c:pt idx="1">
                  <c:v>8</c:v>
                </c:pt>
                <c:pt idx="2">
                  <c:v>3</c:v>
                </c:pt>
                <c:pt idx="3">
                  <c:v>3</c:v>
                </c:pt>
                <c:pt idx="4">
                  <c:v>1</c:v>
                </c:pt>
              </c:numCache>
            </c:numRef>
          </c:val>
          <c:extLst>
            <c:ext xmlns:c16="http://schemas.microsoft.com/office/drawing/2014/chart" uri="{C3380CC4-5D6E-409C-BE32-E72D297353CC}">
              <c16:uniqueId val="{00000000-5BCD-4087-A850-94CCB94106E2}"/>
            </c:ext>
          </c:extLst>
        </c:ser>
        <c:dLbls>
          <c:showLegendKey val="0"/>
          <c:showVal val="0"/>
          <c:showCatName val="0"/>
          <c:showSerName val="0"/>
          <c:showPercent val="0"/>
          <c:showBubbleSize val="0"/>
        </c:dLbls>
        <c:gapWidth val="219"/>
        <c:overlap val="-27"/>
        <c:axId val="1439770751"/>
        <c:axId val="1439771167"/>
      </c:barChart>
      <c:catAx>
        <c:axId val="1439770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771167"/>
        <c:crosses val="autoZero"/>
        <c:auto val="1"/>
        <c:lblAlgn val="ctr"/>
        <c:lblOffset val="100"/>
        <c:noMultiLvlLbl val="0"/>
      </c:catAx>
      <c:valAx>
        <c:axId val="14397711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7707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[maternity complaints theme.xlsx]Sheet1!PivotTable1</c:name>
    <c:fmtId val="13"/>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Sub-themes of MAS complaints</a:t>
            </a:r>
          </a:p>
        </c:rich>
      </c:tx>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Sheet1!$B$3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Sheet1!$A$4:$A$27</c:f>
              <c:strCache>
                <c:ptCount val="23"/>
                <c:pt idx="0">
                  <c:v>Delay in treatment</c:v>
                </c:pt>
                <c:pt idx="1">
                  <c:v>Failure to provide adequate care</c:v>
                </c:pt>
                <c:pt idx="2">
                  <c:v>Patient not listened to</c:v>
                </c:pt>
                <c:pt idx="3">
                  <c:v>Other (Obs Gyn)</c:v>
                </c:pt>
                <c:pt idx="4">
                  <c:v>Attitude of Nursing Staff/Midwives</c:v>
                </c:pt>
                <c:pt idx="5">
                  <c:v>Communication with patient</c:v>
                </c:pt>
                <c:pt idx="6">
                  <c:v>Inadequate support provided</c:v>
                </c:pt>
                <c:pt idx="7">
                  <c:v>Delay or failure in treatment or procedure (Obs Gyn)</c:v>
                </c:pt>
                <c:pt idx="8">
                  <c:v>Injury sustained during treatment or operation (Obs Gyn)</c:v>
                </c:pt>
                <c:pt idx="9">
                  <c:v>Failure to follow up on observations/recognise deteriorating patient (Obs Gyn)</c:v>
                </c:pt>
                <c:pt idx="10">
                  <c:v>Delay or difficulty in obtaining clinical assistance</c:v>
                </c:pt>
                <c:pt idx="11">
                  <c:v>Incorrect diagnosis  (Obs Gyn)</c:v>
                </c:pt>
                <c:pt idx="12">
                  <c:v>Inappropriate treatment</c:v>
                </c:pt>
                <c:pt idx="13">
                  <c:v>Care needs not adequately met</c:v>
                </c:pt>
                <c:pt idx="14">
                  <c:v>Attitude of Medical Staff</c:v>
                </c:pt>
                <c:pt idx="15">
                  <c:v>Inadequate pain management (Obs Gyn)</c:v>
                </c:pt>
                <c:pt idx="16">
                  <c:v>Mismanagement of labour (Obs Gyn)</c:v>
                </c:pt>
                <c:pt idx="17">
                  <c:v>Delay or failure to follow up</c:v>
                </c:pt>
                <c:pt idx="18">
                  <c:v>Other - Consent</c:v>
                </c:pt>
                <c:pt idx="19">
                  <c:v>Delay or failure in observations (Obs Gyn)</c:v>
                </c:pt>
                <c:pt idx="20">
                  <c:v>incorrect procedure</c:v>
                </c:pt>
                <c:pt idx="21">
                  <c:v>Intrapartum stillbirth (Obs Gyn)</c:v>
                </c:pt>
                <c:pt idx="22">
                  <c:v>Lack of clinical assessment (Obs Gyn)</c:v>
                </c:pt>
              </c:strCache>
            </c:strRef>
          </c:cat>
          <c:val>
            <c:numRef>
              <c:f>Sheet1!$B$4:$B$27</c:f>
              <c:numCache>
                <c:formatCode>General</c:formatCode>
                <c:ptCount val="23"/>
                <c:pt idx="0">
                  <c:v>3</c:v>
                </c:pt>
                <c:pt idx="1">
                  <c:v>3</c:v>
                </c:pt>
                <c:pt idx="2">
                  <c:v>2</c:v>
                </c:pt>
                <c:pt idx="3">
                  <c:v>2</c:v>
                </c:pt>
                <c:pt idx="4">
                  <c:v>2</c:v>
                </c:pt>
                <c:pt idx="5">
                  <c:v>2</c:v>
                </c:pt>
                <c:pt idx="6">
                  <c:v>2</c:v>
                </c:pt>
                <c:pt idx="7">
                  <c:v>2</c:v>
                </c:pt>
                <c:pt idx="8">
                  <c:v>2</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numCache>
            </c:numRef>
          </c:val>
          <c:extLst>
            <c:ext xmlns:c16="http://schemas.microsoft.com/office/drawing/2014/chart" uri="{C3380CC4-5D6E-409C-BE32-E72D297353CC}">
              <c16:uniqueId val="{00000000-33BC-49F3-B5BB-0E99CDEDB2C4}"/>
            </c:ext>
          </c:extLst>
        </c:ser>
        <c:dLbls>
          <c:showLegendKey val="0"/>
          <c:showVal val="0"/>
          <c:showCatName val="0"/>
          <c:showSerName val="0"/>
          <c:showPercent val="0"/>
          <c:showBubbleSize val="0"/>
        </c:dLbls>
        <c:gapWidth val="219"/>
        <c:overlap val="-27"/>
        <c:axId val="1596389855"/>
        <c:axId val="1321366591"/>
      </c:barChart>
      <c:catAx>
        <c:axId val="1596389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21366591"/>
        <c:crosses val="autoZero"/>
        <c:auto val="1"/>
        <c:lblAlgn val="ctr"/>
        <c:lblOffset val="100"/>
        <c:noMultiLvlLbl val="0"/>
      </c:catAx>
      <c:valAx>
        <c:axId val="13213665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6389855"/>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[complaints received.xlsx]Sheet1!PivotTable1</c:name>
    <c:fmtId val="56"/>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Complainant</a:t>
            </a:r>
            <a:r>
              <a:rPr lang="en-GB" sz="1200" b="1" baseline="0"/>
              <a:t> Demographic Data by Site and Ethnicity 2023-24</a:t>
            </a:r>
            <a:endParaRPr lang="en-GB" sz="1200" b="1"/>
          </a:p>
        </c:rich>
      </c:tx>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6.0681605057820415E-2"/>
          <c:y val="0.10289532293986638"/>
          <c:w val="0.67810047202411361"/>
          <c:h val="0.46120360790090548"/>
        </c:manualLayout>
      </c:layout>
      <c:barChart>
        <c:barDir val="col"/>
        <c:grouping val="clustered"/>
        <c:varyColors val="0"/>
        <c:ser>
          <c:idx val="0"/>
          <c:order val="0"/>
          <c:tx>
            <c:strRef>
              <c:f>Sheet1!$B$3:$B$4</c:f>
              <c:strCache>
                <c:ptCount val="1"/>
                <c:pt idx="0">
                  <c:v>Chelsea and Westminster Hospital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Sheet1!$A$5:$A$22</c:f>
              <c:strCache>
                <c:ptCount val="17"/>
                <c:pt idx="0">
                  <c:v>Other - Not Stated</c:v>
                </c:pt>
                <c:pt idx="1">
                  <c:v>White - British</c:v>
                </c:pt>
                <c:pt idx="2">
                  <c:v>White - Any Other White Background</c:v>
                </c:pt>
                <c:pt idx="3">
                  <c:v>Asian - Any Other Asian Background</c:v>
                </c:pt>
                <c:pt idx="4">
                  <c:v>Other - Any Other Ethnic Group</c:v>
                </c:pt>
                <c:pt idx="5">
                  <c:v>Asian or Asian British - Indian</c:v>
                </c:pt>
                <c:pt idx="6">
                  <c:v>Black - Any Other Black Background</c:v>
                </c:pt>
                <c:pt idx="7">
                  <c:v>Black or Black British - Caribbean</c:v>
                </c:pt>
                <c:pt idx="8">
                  <c:v>Mixed - Any Other Mixed Background</c:v>
                </c:pt>
                <c:pt idx="9">
                  <c:v>White - Irish</c:v>
                </c:pt>
                <c:pt idx="10">
                  <c:v>Black or Black British - African</c:v>
                </c:pt>
                <c:pt idx="11">
                  <c:v>Mixed - White and Black Caribbean</c:v>
                </c:pt>
                <c:pt idx="12">
                  <c:v>Asian or Asian British - Pakistani</c:v>
                </c:pt>
                <c:pt idx="13">
                  <c:v>Other - Chinese</c:v>
                </c:pt>
                <c:pt idx="14">
                  <c:v>Mixed - White and Asian</c:v>
                </c:pt>
                <c:pt idx="15">
                  <c:v>Asian or Asian British - Bangladeshi</c:v>
                </c:pt>
                <c:pt idx="16">
                  <c:v>Mixed - White and Black African</c:v>
                </c:pt>
              </c:strCache>
            </c:strRef>
          </c:cat>
          <c:val>
            <c:numRef>
              <c:f>Sheet1!$B$5:$B$22</c:f>
              <c:numCache>
                <c:formatCode>General</c:formatCode>
                <c:ptCount val="17"/>
                <c:pt idx="0">
                  <c:v>118</c:v>
                </c:pt>
                <c:pt idx="1">
                  <c:v>76</c:v>
                </c:pt>
                <c:pt idx="2">
                  <c:v>28</c:v>
                </c:pt>
                <c:pt idx="3">
                  <c:v>13</c:v>
                </c:pt>
                <c:pt idx="4">
                  <c:v>13</c:v>
                </c:pt>
                <c:pt idx="5">
                  <c:v>5</c:v>
                </c:pt>
                <c:pt idx="6">
                  <c:v>5</c:v>
                </c:pt>
                <c:pt idx="7">
                  <c:v>4</c:v>
                </c:pt>
                <c:pt idx="8">
                  <c:v>4</c:v>
                </c:pt>
                <c:pt idx="9">
                  <c:v>6</c:v>
                </c:pt>
                <c:pt idx="10">
                  <c:v>2</c:v>
                </c:pt>
                <c:pt idx="11">
                  <c:v>2</c:v>
                </c:pt>
                <c:pt idx="12">
                  <c:v>1</c:v>
                </c:pt>
                <c:pt idx="13">
                  <c:v>2</c:v>
                </c:pt>
                <c:pt idx="14">
                  <c:v>2</c:v>
                </c:pt>
                <c:pt idx="16">
                  <c:v>1</c:v>
                </c:pt>
              </c:numCache>
            </c:numRef>
          </c:val>
          <c:extLst>
            <c:ext xmlns:c16="http://schemas.microsoft.com/office/drawing/2014/chart" uri="{C3380CC4-5D6E-409C-BE32-E72D297353CC}">
              <c16:uniqueId val="{00000000-A761-4071-BE40-866DDA8A442A}"/>
            </c:ext>
          </c:extLst>
        </c:ser>
        <c:ser>
          <c:idx val="1"/>
          <c:order val="1"/>
          <c:tx>
            <c:strRef>
              <c:f>Sheet1!$C$3:$C$4</c:f>
              <c:strCache>
                <c:ptCount val="1"/>
                <c:pt idx="0">
                  <c:v>Community nursing / clinics (provided by Trust)</c:v>
                </c:pt>
              </c:strCache>
            </c:strRef>
          </c:tx>
          <c:spPr>
            <a:solidFill>
              <a:schemeClr val="accent2"/>
            </a:solidFill>
            <a:ln>
              <a:noFill/>
            </a:ln>
            <a:effectLst/>
          </c:spPr>
          <c:invertIfNegative val="0"/>
          <c:cat>
            <c:strRef>
              <c:f>Sheet1!$A$5:$A$22</c:f>
              <c:strCache>
                <c:ptCount val="17"/>
                <c:pt idx="0">
                  <c:v>Other - Not Stated</c:v>
                </c:pt>
                <c:pt idx="1">
                  <c:v>White - British</c:v>
                </c:pt>
                <c:pt idx="2">
                  <c:v>White - Any Other White Background</c:v>
                </c:pt>
                <c:pt idx="3">
                  <c:v>Asian - Any Other Asian Background</c:v>
                </c:pt>
                <c:pt idx="4">
                  <c:v>Other - Any Other Ethnic Group</c:v>
                </c:pt>
                <c:pt idx="5">
                  <c:v>Asian or Asian British - Indian</c:v>
                </c:pt>
                <c:pt idx="6">
                  <c:v>Black - Any Other Black Background</c:v>
                </c:pt>
                <c:pt idx="7">
                  <c:v>Black or Black British - Caribbean</c:v>
                </c:pt>
                <c:pt idx="8">
                  <c:v>Mixed - Any Other Mixed Background</c:v>
                </c:pt>
                <c:pt idx="9">
                  <c:v>White - Irish</c:v>
                </c:pt>
                <c:pt idx="10">
                  <c:v>Black or Black British - African</c:v>
                </c:pt>
                <c:pt idx="11">
                  <c:v>Mixed - White and Black Caribbean</c:v>
                </c:pt>
                <c:pt idx="12">
                  <c:v>Asian or Asian British - Pakistani</c:v>
                </c:pt>
                <c:pt idx="13">
                  <c:v>Other - Chinese</c:v>
                </c:pt>
                <c:pt idx="14">
                  <c:v>Mixed - White and Asian</c:v>
                </c:pt>
                <c:pt idx="15">
                  <c:v>Asian or Asian British - Bangladeshi</c:v>
                </c:pt>
                <c:pt idx="16">
                  <c:v>Mixed - White and Black African</c:v>
                </c:pt>
              </c:strCache>
            </c:strRef>
          </c:cat>
          <c:val>
            <c:numRef>
              <c:f>Sheet1!$C$5:$C$22</c:f>
              <c:numCache>
                <c:formatCode>General</c:formatCode>
                <c:ptCount val="17"/>
                <c:pt idx="0">
                  <c:v>1</c:v>
                </c:pt>
              </c:numCache>
            </c:numRef>
          </c:val>
          <c:extLst>
            <c:ext xmlns:c16="http://schemas.microsoft.com/office/drawing/2014/chart" uri="{C3380CC4-5D6E-409C-BE32-E72D297353CC}">
              <c16:uniqueId val="{00000001-A761-4071-BE40-866DDA8A442A}"/>
            </c:ext>
          </c:extLst>
        </c:ser>
        <c:ser>
          <c:idx val="2"/>
          <c:order val="2"/>
          <c:tx>
            <c:strRef>
              <c:f>Sheet1!$D$3:$D$4</c:f>
              <c:strCache>
                <c:ptCount val="1"/>
                <c:pt idx="0">
                  <c:v>West Middlesex University Hospital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Sheet1!$A$5:$A$22</c:f>
              <c:strCache>
                <c:ptCount val="17"/>
                <c:pt idx="0">
                  <c:v>Other - Not Stated</c:v>
                </c:pt>
                <c:pt idx="1">
                  <c:v>White - British</c:v>
                </c:pt>
                <c:pt idx="2">
                  <c:v>White - Any Other White Background</c:v>
                </c:pt>
                <c:pt idx="3">
                  <c:v>Asian - Any Other Asian Background</c:v>
                </c:pt>
                <c:pt idx="4">
                  <c:v>Other - Any Other Ethnic Group</c:v>
                </c:pt>
                <c:pt idx="5">
                  <c:v>Asian or Asian British - Indian</c:v>
                </c:pt>
                <c:pt idx="6">
                  <c:v>Black - Any Other Black Background</c:v>
                </c:pt>
                <c:pt idx="7">
                  <c:v>Black or Black British - Caribbean</c:v>
                </c:pt>
                <c:pt idx="8">
                  <c:v>Mixed - Any Other Mixed Background</c:v>
                </c:pt>
                <c:pt idx="9">
                  <c:v>White - Irish</c:v>
                </c:pt>
                <c:pt idx="10">
                  <c:v>Black or Black British - African</c:v>
                </c:pt>
                <c:pt idx="11">
                  <c:v>Mixed - White and Black Caribbean</c:v>
                </c:pt>
                <c:pt idx="12">
                  <c:v>Asian or Asian British - Pakistani</c:v>
                </c:pt>
                <c:pt idx="13">
                  <c:v>Other - Chinese</c:v>
                </c:pt>
                <c:pt idx="14">
                  <c:v>Mixed - White and Asian</c:v>
                </c:pt>
                <c:pt idx="15">
                  <c:v>Asian or Asian British - Bangladeshi</c:v>
                </c:pt>
                <c:pt idx="16">
                  <c:v>Mixed - White and Black African</c:v>
                </c:pt>
              </c:strCache>
            </c:strRef>
          </c:cat>
          <c:val>
            <c:numRef>
              <c:f>Sheet1!$D$5:$D$22</c:f>
              <c:numCache>
                <c:formatCode>General</c:formatCode>
                <c:ptCount val="17"/>
                <c:pt idx="0">
                  <c:v>77</c:v>
                </c:pt>
                <c:pt idx="1">
                  <c:v>49</c:v>
                </c:pt>
                <c:pt idx="2">
                  <c:v>8</c:v>
                </c:pt>
                <c:pt idx="3">
                  <c:v>8</c:v>
                </c:pt>
                <c:pt idx="4">
                  <c:v>4</c:v>
                </c:pt>
                <c:pt idx="5">
                  <c:v>11</c:v>
                </c:pt>
                <c:pt idx="6">
                  <c:v>4</c:v>
                </c:pt>
                <c:pt idx="7">
                  <c:v>3</c:v>
                </c:pt>
                <c:pt idx="8">
                  <c:v>3</c:v>
                </c:pt>
                <c:pt idx="10">
                  <c:v>2</c:v>
                </c:pt>
                <c:pt idx="11">
                  <c:v>2</c:v>
                </c:pt>
                <c:pt idx="12">
                  <c:v>3</c:v>
                </c:pt>
                <c:pt idx="15">
                  <c:v>1</c:v>
                </c:pt>
              </c:numCache>
            </c:numRef>
          </c:val>
          <c:extLst>
            <c:ext xmlns:c16="http://schemas.microsoft.com/office/drawing/2014/chart" uri="{C3380CC4-5D6E-409C-BE32-E72D297353CC}">
              <c16:uniqueId val="{00000002-A761-4071-BE40-866DDA8A442A}"/>
            </c:ext>
          </c:extLst>
        </c:ser>
        <c:dLbls>
          <c:showLegendKey val="0"/>
          <c:showVal val="0"/>
          <c:showCatName val="0"/>
          <c:showSerName val="0"/>
          <c:showPercent val="0"/>
          <c:showBubbleSize val="0"/>
        </c:dLbls>
        <c:gapWidth val="150"/>
        <c:axId val="263031904"/>
        <c:axId val="263035648"/>
      </c:barChart>
      <c:catAx>
        <c:axId val="26303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035648"/>
        <c:crosses val="autoZero"/>
        <c:auto val="1"/>
        <c:lblAlgn val="ctr"/>
        <c:lblOffset val="100"/>
        <c:noMultiLvlLbl val="0"/>
      </c:catAx>
      <c:valAx>
        <c:axId val="263035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031904"/>
        <c:crosses val="autoZero"/>
        <c:crossBetween val="between"/>
      </c:valAx>
      <c:spPr>
        <a:noFill/>
        <a:ln>
          <a:noFill/>
        </a:ln>
        <a:effectLst/>
      </c:spPr>
    </c:plotArea>
    <c:legend>
      <c:legendPos val="r"/>
      <c:layout>
        <c:manualLayout>
          <c:xMode val="edge"/>
          <c:yMode val="edge"/>
          <c:x val="0.81360804003209697"/>
          <c:y val="0.15621248343188462"/>
          <c:w val="0.14209295212932521"/>
          <c:h val="0.655651679204972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[complaints received.xlsx]Sheet1!PivotTable1</c:name>
    <c:fmtId val="60"/>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Complainant</a:t>
            </a:r>
            <a:r>
              <a:rPr lang="en-GB" sz="1200" b="1" baseline="0"/>
              <a:t> Demographic Data by Site and Age/Gender 2023-24</a:t>
            </a:r>
            <a:endParaRPr lang="en-GB" sz="1200" b="1"/>
          </a:p>
        </c:rich>
      </c:tx>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3"/>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6.0681605057820415E-2"/>
          <c:y val="0.10289532293986638"/>
          <c:w val="0.72649139120509409"/>
          <c:h val="0.66719894448243933"/>
        </c:manualLayout>
      </c:layout>
      <c:barChart>
        <c:barDir val="col"/>
        <c:grouping val="stacked"/>
        <c:varyColors val="0"/>
        <c:ser>
          <c:idx val="0"/>
          <c:order val="0"/>
          <c:tx>
            <c:strRef>
              <c:f>Sheet1!$B$3:$B$4</c:f>
              <c:strCache>
                <c:ptCount val="1"/>
                <c:pt idx="0">
                  <c:v>Chelsea and Westminster Hospital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Sheet1!$A$5:$A$50</c:f>
              <c:multiLvlStrCache>
                <c:ptCount val="34"/>
                <c:lvl>
                  <c:pt idx="0">
                    <c:v>Female</c:v>
                  </c:pt>
                  <c:pt idx="1">
                    <c:v>Male</c:v>
                  </c:pt>
                  <c:pt idx="2">
                    <c:v>Other</c:v>
                  </c:pt>
                  <c:pt idx="3">
                    <c:v>(blank)</c:v>
                  </c:pt>
                  <c:pt idx="4">
                    <c:v>Female</c:v>
                  </c:pt>
                  <c:pt idx="5">
                    <c:v>Male</c:v>
                  </c:pt>
                  <c:pt idx="6">
                    <c:v>(blank)</c:v>
                  </c:pt>
                  <c:pt idx="7">
                    <c:v>Female</c:v>
                  </c:pt>
                  <c:pt idx="8">
                    <c:v>Male</c:v>
                  </c:pt>
                  <c:pt idx="9">
                    <c:v>(blank)</c:v>
                  </c:pt>
                  <c:pt idx="10">
                    <c:v>Female</c:v>
                  </c:pt>
                  <c:pt idx="11">
                    <c:v>Male</c:v>
                  </c:pt>
                  <c:pt idx="12">
                    <c:v>(blank)</c:v>
                  </c:pt>
                  <c:pt idx="13">
                    <c:v>Female</c:v>
                  </c:pt>
                  <c:pt idx="14">
                    <c:v>Male</c:v>
                  </c:pt>
                  <c:pt idx="15">
                    <c:v>(blank)</c:v>
                  </c:pt>
                  <c:pt idx="16">
                    <c:v>Female</c:v>
                  </c:pt>
                  <c:pt idx="17">
                    <c:v>Male</c:v>
                  </c:pt>
                  <c:pt idx="18">
                    <c:v>(blank)</c:v>
                  </c:pt>
                  <c:pt idx="19">
                    <c:v>Female</c:v>
                  </c:pt>
                  <c:pt idx="20">
                    <c:v>Male</c:v>
                  </c:pt>
                  <c:pt idx="21">
                    <c:v>(blank)</c:v>
                  </c:pt>
                  <c:pt idx="22">
                    <c:v>Female</c:v>
                  </c:pt>
                  <c:pt idx="23">
                    <c:v>Male</c:v>
                  </c:pt>
                  <c:pt idx="24">
                    <c:v>(blank)</c:v>
                  </c:pt>
                  <c:pt idx="25">
                    <c:v>Female</c:v>
                  </c:pt>
                  <c:pt idx="26">
                    <c:v>Male</c:v>
                  </c:pt>
                  <c:pt idx="27">
                    <c:v>(blank)</c:v>
                  </c:pt>
                  <c:pt idx="28">
                    <c:v>Female</c:v>
                  </c:pt>
                  <c:pt idx="29">
                    <c:v>Male</c:v>
                  </c:pt>
                  <c:pt idx="30">
                    <c:v>(blank)</c:v>
                  </c:pt>
                  <c:pt idx="31">
                    <c:v>Female</c:v>
                  </c:pt>
                  <c:pt idx="32">
                    <c:v>Male</c:v>
                  </c:pt>
                  <c:pt idx="33">
                    <c:v>(blank)</c:v>
                  </c:pt>
                </c:lvl>
                <c:lvl>
                  <c:pt idx="0">
                    <c:v>(blank)</c:v>
                  </c:pt>
                  <c:pt idx="4">
                    <c:v>0-9</c:v>
                  </c:pt>
                  <c:pt idx="7">
                    <c:v>10-19</c:v>
                  </c:pt>
                  <c:pt idx="10">
                    <c:v>20-29</c:v>
                  </c:pt>
                  <c:pt idx="13">
                    <c:v>30-39</c:v>
                  </c:pt>
                  <c:pt idx="16">
                    <c:v>40-49</c:v>
                  </c:pt>
                  <c:pt idx="19">
                    <c:v>50-59</c:v>
                  </c:pt>
                  <c:pt idx="22">
                    <c:v>60-69</c:v>
                  </c:pt>
                  <c:pt idx="25">
                    <c:v>70-79</c:v>
                  </c:pt>
                  <c:pt idx="28">
                    <c:v>80-89</c:v>
                  </c:pt>
                  <c:pt idx="31">
                    <c:v>90-99</c:v>
                  </c:pt>
                </c:lvl>
              </c:multiLvlStrCache>
            </c:multiLvlStrRef>
          </c:cat>
          <c:val>
            <c:numRef>
              <c:f>Sheet1!$B$5:$B$50</c:f>
              <c:numCache>
                <c:formatCode>General</c:formatCode>
                <c:ptCount val="34"/>
                <c:pt idx="0">
                  <c:v>35</c:v>
                </c:pt>
                <c:pt idx="1">
                  <c:v>13</c:v>
                </c:pt>
                <c:pt idx="2">
                  <c:v>1</c:v>
                </c:pt>
                <c:pt idx="3">
                  <c:v>11</c:v>
                </c:pt>
                <c:pt idx="4">
                  <c:v>10</c:v>
                </c:pt>
                <c:pt idx="5">
                  <c:v>10</c:v>
                </c:pt>
                <c:pt idx="7">
                  <c:v>2</c:v>
                </c:pt>
                <c:pt idx="8">
                  <c:v>4</c:v>
                </c:pt>
                <c:pt idx="9">
                  <c:v>1</c:v>
                </c:pt>
                <c:pt idx="10">
                  <c:v>16</c:v>
                </c:pt>
                <c:pt idx="11">
                  <c:v>1</c:v>
                </c:pt>
                <c:pt idx="12">
                  <c:v>2</c:v>
                </c:pt>
                <c:pt idx="13">
                  <c:v>42</c:v>
                </c:pt>
                <c:pt idx="14">
                  <c:v>3</c:v>
                </c:pt>
                <c:pt idx="15">
                  <c:v>1</c:v>
                </c:pt>
                <c:pt idx="16">
                  <c:v>23</c:v>
                </c:pt>
                <c:pt idx="17">
                  <c:v>5</c:v>
                </c:pt>
                <c:pt idx="18">
                  <c:v>3</c:v>
                </c:pt>
                <c:pt idx="19">
                  <c:v>20</c:v>
                </c:pt>
                <c:pt idx="20">
                  <c:v>11</c:v>
                </c:pt>
                <c:pt idx="21">
                  <c:v>1</c:v>
                </c:pt>
                <c:pt idx="22">
                  <c:v>12</c:v>
                </c:pt>
                <c:pt idx="23">
                  <c:v>10</c:v>
                </c:pt>
                <c:pt idx="24">
                  <c:v>1</c:v>
                </c:pt>
                <c:pt idx="25">
                  <c:v>14</c:v>
                </c:pt>
                <c:pt idx="26">
                  <c:v>11</c:v>
                </c:pt>
                <c:pt idx="28">
                  <c:v>9</c:v>
                </c:pt>
                <c:pt idx="29">
                  <c:v>3</c:v>
                </c:pt>
                <c:pt idx="30">
                  <c:v>2</c:v>
                </c:pt>
                <c:pt idx="31">
                  <c:v>2</c:v>
                </c:pt>
                <c:pt idx="32">
                  <c:v>3</c:v>
                </c:pt>
              </c:numCache>
            </c:numRef>
          </c:val>
          <c:extLst>
            <c:ext xmlns:c16="http://schemas.microsoft.com/office/drawing/2014/chart" uri="{C3380CC4-5D6E-409C-BE32-E72D297353CC}">
              <c16:uniqueId val="{00000000-0582-461A-BCE3-87F61A80709C}"/>
            </c:ext>
          </c:extLst>
        </c:ser>
        <c:ser>
          <c:idx val="1"/>
          <c:order val="1"/>
          <c:tx>
            <c:strRef>
              <c:f>Sheet1!$C$3:$C$4</c:f>
              <c:strCache>
                <c:ptCount val="1"/>
                <c:pt idx="0">
                  <c:v>Community nursing / clinics (provided by Trust)</c:v>
                </c:pt>
              </c:strCache>
            </c:strRef>
          </c:tx>
          <c:spPr>
            <a:solidFill>
              <a:schemeClr val="accent2"/>
            </a:solidFill>
            <a:ln>
              <a:noFill/>
            </a:ln>
            <a:effectLst/>
          </c:spPr>
          <c:invertIfNegative val="0"/>
          <c:cat>
            <c:multiLvlStrRef>
              <c:f>Sheet1!$A$5:$A$50</c:f>
              <c:multiLvlStrCache>
                <c:ptCount val="34"/>
                <c:lvl>
                  <c:pt idx="0">
                    <c:v>Female</c:v>
                  </c:pt>
                  <c:pt idx="1">
                    <c:v>Male</c:v>
                  </c:pt>
                  <c:pt idx="2">
                    <c:v>Other</c:v>
                  </c:pt>
                  <c:pt idx="3">
                    <c:v>(blank)</c:v>
                  </c:pt>
                  <c:pt idx="4">
                    <c:v>Female</c:v>
                  </c:pt>
                  <c:pt idx="5">
                    <c:v>Male</c:v>
                  </c:pt>
                  <c:pt idx="6">
                    <c:v>(blank)</c:v>
                  </c:pt>
                  <c:pt idx="7">
                    <c:v>Female</c:v>
                  </c:pt>
                  <c:pt idx="8">
                    <c:v>Male</c:v>
                  </c:pt>
                  <c:pt idx="9">
                    <c:v>(blank)</c:v>
                  </c:pt>
                  <c:pt idx="10">
                    <c:v>Female</c:v>
                  </c:pt>
                  <c:pt idx="11">
                    <c:v>Male</c:v>
                  </c:pt>
                  <c:pt idx="12">
                    <c:v>(blank)</c:v>
                  </c:pt>
                  <c:pt idx="13">
                    <c:v>Female</c:v>
                  </c:pt>
                  <c:pt idx="14">
                    <c:v>Male</c:v>
                  </c:pt>
                  <c:pt idx="15">
                    <c:v>(blank)</c:v>
                  </c:pt>
                  <c:pt idx="16">
                    <c:v>Female</c:v>
                  </c:pt>
                  <c:pt idx="17">
                    <c:v>Male</c:v>
                  </c:pt>
                  <c:pt idx="18">
                    <c:v>(blank)</c:v>
                  </c:pt>
                  <c:pt idx="19">
                    <c:v>Female</c:v>
                  </c:pt>
                  <c:pt idx="20">
                    <c:v>Male</c:v>
                  </c:pt>
                  <c:pt idx="21">
                    <c:v>(blank)</c:v>
                  </c:pt>
                  <c:pt idx="22">
                    <c:v>Female</c:v>
                  </c:pt>
                  <c:pt idx="23">
                    <c:v>Male</c:v>
                  </c:pt>
                  <c:pt idx="24">
                    <c:v>(blank)</c:v>
                  </c:pt>
                  <c:pt idx="25">
                    <c:v>Female</c:v>
                  </c:pt>
                  <c:pt idx="26">
                    <c:v>Male</c:v>
                  </c:pt>
                  <c:pt idx="27">
                    <c:v>(blank)</c:v>
                  </c:pt>
                  <c:pt idx="28">
                    <c:v>Female</c:v>
                  </c:pt>
                  <c:pt idx="29">
                    <c:v>Male</c:v>
                  </c:pt>
                  <c:pt idx="30">
                    <c:v>(blank)</c:v>
                  </c:pt>
                  <c:pt idx="31">
                    <c:v>Female</c:v>
                  </c:pt>
                  <c:pt idx="32">
                    <c:v>Male</c:v>
                  </c:pt>
                  <c:pt idx="33">
                    <c:v>(blank)</c:v>
                  </c:pt>
                </c:lvl>
                <c:lvl>
                  <c:pt idx="0">
                    <c:v>(blank)</c:v>
                  </c:pt>
                  <c:pt idx="4">
                    <c:v>0-9</c:v>
                  </c:pt>
                  <c:pt idx="7">
                    <c:v>10-19</c:v>
                  </c:pt>
                  <c:pt idx="10">
                    <c:v>20-29</c:v>
                  </c:pt>
                  <c:pt idx="13">
                    <c:v>30-39</c:v>
                  </c:pt>
                  <c:pt idx="16">
                    <c:v>40-49</c:v>
                  </c:pt>
                  <c:pt idx="19">
                    <c:v>50-59</c:v>
                  </c:pt>
                  <c:pt idx="22">
                    <c:v>60-69</c:v>
                  </c:pt>
                  <c:pt idx="25">
                    <c:v>70-79</c:v>
                  </c:pt>
                  <c:pt idx="28">
                    <c:v>80-89</c:v>
                  </c:pt>
                  <c:pt idx="31">
                    <c:v>90-99</c:v>
                  </c:pt>
                </c:lvl>
              </c:multiLvlStrCache>
            </c:multiLvlStrRef>
          </c:cat>
          <c:val>
            <c:numRef>
              <c:f>Sheet1!$C$5:$C$50</c:f>
              <c:numCache>
                <c:formatCode>General</c:formatCode>
                <c:ptCount val="34"/>
                <c:pt idx="1">
                  <c:v>1</c:v>
                </c:pt>
              </c:numCache>
            </c:numRef>
          </c:val>
          <c:extLst>
            <c:ext xmlns:c16="http://schemas.microsoft.com/office/drawing/2014/chart" uri="{C3380CC4-5D6E-409C-BE32-E72D297353CC}">
              <c16:uniqueId val="{00000001-0582-461A-BCE3-87F61A80709C}"/>
            </c:ext>
          </c:extLst>
        </c:ser>
        <c:ser>
          <c:idx val="2"/>
          <c:order val="2"/>
          <c:tx>
            <c:strRef>
              <c:f>Sheet1!$D$3:$D$4</c:f>
              <c:strCache>
                <c:ptCount val="1"/>
                <c:pt idx="0">
                  <c:v>West Middlesex University Hospital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Sheet1!$A$5:$A$50</c:f>
              <c:multiLvlStrCache>
                <c:ptCount val="34"/>
                <c:lvl>
                  <c:pt idx="0">
                    <c:v>Female</c:v>
                  </c:pt>
                  <c:pt idx="1">
                    <c:v>Male</c:v>
                  </c:pt>
                  <c:pt idx="2">
                    <c:v>Other</c:v>
                  </c:pt>
                  <c:pt idx="3">
                    <c:v>(blank)</c:v>
                  </c:pt>
                  <c:pt idx="4">
                    <c:v>Female</c:v>
                  </c:pt>
                  <c:pt idx="5">
                    <c:v>Male</c:v>
                  </c:pt>
                  <c:pt idx="6">
                    <c:v>(blank)</c:v>
                  </c:pt>
                  <c:pt idx="7">
                    <c:v>Female</c:v>
                  </c:pt>
                  <c:pt idx="8">
                    <c:v>Male</c:v>
                  </c:pt>
                  <c:pt idx="9">
                    <c:v>(blank)</c:v>
                  </c:pt>
                  <c:pt idx="10">
                    <c:v>Female</c:v>
                  </c:pt>
                  <c:pt idx="11">
                    <c:v>Male</c:v>
                  </c:pt>
                  <c:pt idx="12">
                    <c:v>(blank)</c:v>
                  </c:pt>
                  <c:pt idx="13">
                    <c:v>Female</c:v>
                  </c:pt>
                  <c:pt idx="14">
                    <c:v>Male</c:v>
                  </c:pt>
                  <c:pt idx="15">
                    <c:v>(blank)</c:v>
                  </c:pt>
                  <c:pt idx="16">
                    <c:v>Female</c:v>
                  </c:pt>
                  <c:pt idx="17">
                    <c:v>Male</c:v>
                  </c:pt>
                  <c:pt idx="18">
                    <c:v>(blank)</c:v>
                  </c:pt>
                  <c:pt idx="19">
                    <c:v>Female</c:v>
                  </c:pt>
                  <c:pt idx="20">
                    <c:v>Male</c:v>
                  </c:pt>
                  <c:pt idx="21">
                    <c:v>(blank)</c:v>
                  </c:pt>
                  <c:pt idx="22">
                    <c:v>Female</c:v>
                  </c:pt>
                  <c:pt idx="23">
                    <c:v>Male</c:v>
                  </c:pt>
                  <c:pt idx="24">
                    <c:v>(blank)</c:v>
                  </c:pt>
                  <c:pt idx="25">
                    <c:v>Female</c:v>
                  </c:pt>
                  <c:pt idx="26">
                    <c:v>Male</c:v>
                  </c:pt>
                  <c:pt idx="27">
                    <c:v>(blank)</c:v>
                  </c:pt>
                  <c:pt idx="28">
                    <c:v>Female</c:v>
                  </c:pt>
                  <c:pt idx="29">
                    <c:v>Male</c:v>
                  </c:pt>
                  <c:pt idx="30">
                    <c:v>(blank)</c:v>
                  </c:pt>
                  <c:pt idx="31">
                    <c:v>Female</c:v>
                  </c:pt>
                  <c:pt idx="32">
                    <c:v>Male</c:v>
                  </c:pt>
                  <c:pt idx="33">
                    <c:v>(blank)</c:v>
                  </c:pt>
                </c:lvl>
                <c:lvl>
                  <c:pt idx="0">
                    <c:v>(blank)</c:v>
                  </c:pt>
                  <c:pt idx="4">
                    <c:v>0-9</c:v>
                  </c:pt>
                  <c:pt idx="7">
                    <c:v>10-19</c:v>
                  </c:pt>
                  <c:pt idx="10">
                    <c:v>20-29</c:v>
                  </c:pt>
                  <c:pt idx="13">
                    <c:v>30-39</c:v>
                  </c:pt>
                  <c:pt idx="16">
                    <c:v>40-49</c:v>
                  </c:pt>
                  <c:pt idx="19">
                    <c:v>50-59</c:v>
                  </c:pt>
                  <c:pt idx="22">
                    <c:v>60-69</c:v>
                  </c:pt>
                  <c:pt idx="25">
                    <c:v>70-79</c:v>
                  </c:pt>
                  <c:pt idx="28">
                    <c:v>80-89</c:v>
                  </c:pt>
                  <c:pt idx="31">
                    <c:v>90-99</c:v>
                  </c:pt>
                </c:lvl>
              </c:multiLvlStrCache>
            </c:multiLvlStrRef>
          </c:cat>
          <c:val>
            <c:numRef>
              <c:f>Sheet1!$D$5:$D$50</c:f>
              <c:numCache>
                <c:formatCode>General</c:formatCode>
                <c:ptCount val="34"/>
                <c:pt idx="0">
                  <c:v>15</c:v>
                </c:pt>
                <c:pt idx="1">
                  <c:v>6</c:v>
                </c:pt>
                <c:pt idx="3">
                  <c:v>8</c:v>
                </c:pt>
                <c:pt idx="4">
                  <c:v>4</c:v>
                </c:pt>
                <c:pt idx="5">
                  <c:v>3</c:v>
                </c:pt>
                <c:pt idx="6">
                  <c:v>1</c:v>
                </c:pt>
                <c:pt idx="7">
                  <c:v>3</c:v>
                </c:pt>
                <c:pt idx="8">
                  <c:v>2</c:v>
                </c:pt>
                <c:pt idx="10">
                  <c:v>6</c:v>
                </c:pt>
                <c:pt idx="12">
                  <c:v>1</c:v>
                </c:pt>
                <c:pt idx="13">
                  <c:v>16</c:v>
                </c:pt>
                <c:pt idx="14">
                  <c:v>4</c:v>
                </c:pt>
                <c:pt idx="15">
                  <c:v>1</c:v>
                </c:pt>
                <c:pt idx="16">
                  <c:v>10</c:v>
                </c:pt>
                <c:pt idx="17">
                  <c:v>1</c:v>
                </c:pt>
                <c:pt idx="19">
                  <c:v>14</c:v>
                </c:pt>
                <c:pt idx="20">
                  <c:v>5</c:v>
                </c:pt>
                <c:pt idx="21">
                  <c:v>2</c:v>
                </c:pt>
                <c:pt idx="22">
                  <c:v>12</c:v>
                </c:pt>
                <c:pt idx="23">
                  <c:v>7</c:v>
                </c:pt>
                <c:pt idx="24">
                  <c:v>2</c:v>
                </c:pt>
                <c:pt idx="25">
                  <c:v>13</c:v>
                </c:pt>
                <c:pt idx="26">
                  <c:v>8</c:v>
                </c:pt>
                <c:pt idx="27">
                  <c:v>3</c:v>
                </c:pt>
                <c:pt idx="28">
                  <c:v>12</c:v>
                </c:pt>
                <c:pt idx="29">
                  <c:v>6</c:v>
                </c:pt>
                <c:pt idx="31">
                  <c:v>3</c:v>
                </c:pt>
                <c:pt idx="32">
                  <c:v>4</c:v>
                </c:pt>
                <c:pt idx="33">
                  <c:v>3</c:v>
                </c:pt>
              </c:numCache>
            </c:numRef>
          </c:val>
          <c:extLst>
            <c:ext xmlns:c16="http://schemas.microsoft.com/office/drawing/2014/chart" uri="{C3380CC4-5D6E-409C-BE32-E72D297353CC}">
              <c16:uniqueId val="{00000002-0582-461A-BCE3-87F61A80709C}"/>
            </c:ext>
          </c:extLst>
        </c:ser>
        <c:dLbls>
          <c:showLegendKey val="0"/>
          <c:showVal val="0"/>
          <c:showCatName val="0"/>
          <c:showSerName val="0"/>
          <c:showPercent val="0"/>
          <c:showBubbleSize val="0"/>
        </c:dLbls>
        <c:gapWidth val="150"/>
        <c:overlap val="100"/>
        <c:axId val="263031904"/>
        <c:axId val="263035648"/>
      </c:barChart>
      <c:catAx>
        <c:axId val="26303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035648"/>
        <c:crosses val="autoZero"/>
        <c:auto val="1"/>
        <c:lblAlgn val="ctr"/>
        <c:lblOffset val="100"/>
        <c:noMultiLvlLbl val="0"/>
      </c:catAx>
      <c:valAx>
        <c:axId val="263035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031904"/>
        <c:crosses val="autoZero"/>
        <c:crossBetween val="between"/>
      </c:valAx>
      <c:spPr>
        <a:noFill/>
        <a:ln>
          <a:noFill/>
        </a:ln>
        <a:effectLst/>
      </c:spPr>
    </c:plotArea>
    <c:legend>
      <c:legendPos val="r"/>
      <c:layout>
        <c:manualLayout>
          <c:xMode val="edge"/>
          <c:yMode val="edge"/>
          <c:x val="0.81360804003209697"/>
          <c:y val="0.15621248343188462"/>
          <c:w val="0.14209295212932521"/>
          <c:h val="0.655651679204972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latin typeface="Arial" panose="020B0604020202020204" pitchFamily="34" charset="0"/>
                <a:cs typeface="Arial" panose="020B0604020202020204" pitchFamily="34" charset="0"/>
              </a:defRPr>
            </a:pPr>
            <a:r>
              <a:rPr lang="en-GB" sz="1050"/>
              <a:t>Percentage of formal complaints acknowledged</a:t>
            </a:r>
            <a:r>
              <a:rPr lang="en-GB" sz="1050" baseline="0"/>
              <a:t> in </a:t>
            </a:r>
          </a:p>
          <a:p>
            <a:pPr>
              <a:defRPr sz="1050">
                <a:latin typeface="Arial" panose="020B0604020202020204" pitchFamily="34" charset="0"/>
                <a:cs typeface="Arial" panose="020B0604020202020204" pitchFamily="34" charset="0"/>
              </a:defRPr>
            </a:pPr>
            <a:r>
              <a:rPr lang="en-GB" sz="1050" baseline="0"/>
              <a:t>three working days in 2023-24</a:t>
            </a:r>
          </a:p>
          <a:p>
            <a:pPr>
              <a:defRPr sz="1050">
                <a:latin typeface="Arial" panose="020B0604020202020204" pitchFamily="34" charset="0"/>
                <a:cs typeface="Arial" panose="020B0604020202020204" pitchFamily="34" charset="0"/>
              </a:defRPr>
            </a:pPr>
            <a:endParaRPr lang="en-GB" sz="1050"/>
          </a:p>
        </c:rich>
      </c:tx>
      <c:layout/>
      <c:overlay val="0"/>
    </c:title>
    <c:autoTitleDeleted val="0"/>
    <c:plotArea>
      <c:layout/>
      <c:lineChart>
        <c:grouping val="standard"/>
        <c:varyColors val="0"/>
        <c:ser>
          <c:idx val="0"/>
          <c:order val="0"/>
          <c:tx>
            <c:strRef>
              <c:f>'chart template'!$B$1</c:f>
              <c:strCache>
                <c:ptCount val="1"/>
                <c:pt idx="0">
                  <c:v>Values</c:v>
                </c:pt>
              </c:strCache>
            </c:strRef>
          </c:tx>
          <c:spPr>
            <a:ln w="15875">
              <a:solidFill>
                <a:schemeClr val="tx1"/>
              </a:solidFill>
            </a:ln>
          </c:spPr>
          <c:marker>
            <c:symbol val="diamond"/>
            <c:size val="3"/>
            <c:spPr>
              <a:solidFill>
                <a:schemeClr val="tx1"/>
              </a:solidFill>
              <a:ln>
                <a:noFill/>
              </a:ln>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'chart template'!$A$68:$A$82</c:f>
              <c:numCache>
                <c:formatCode>mmm\-yy</c:formatCode>
                <c:ptCount val="15"/>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pt idx="12">
                  <c:v>45292</c:v>
                </c:pt>
                <c:pt idx="13">
                  <c:v>45323</c:v>
                </c:pt>
                <c:pt idx="14">
                  <c:v>45352</c:v>
                </c:pt>
              </c:numCache>
            </c:numRef>
          </c:cat>
          <c:val>
            <c:numRef>
              <c:f>'chart template'!$B$68:$B$82</c:f>
              <c:numCache>
                <c:formatCode>General</c:formatCode>
                <c:ptCount val="15"/>
                <c:pt idx="0">
                  <c:v>94</c:v>
                </c:pt>
                <c:pt idx="1">
                  <c:v>100</c:v>
                </c:pt>
                <c:pt idx="2">
                  <c:v>95</c:v>
                </c:pt>
                <c:pt idx="3">
                  <c:v>98</c:v>
                </c:pt>
                <c:pt idx="4">
                  <c:v>99</c:v>
                </c:pt>
                <c:pt idx="5">
                  <c:v>97</c:v>
                </c:pt>
                <c:pt idx="6">
                  <c:v>93</c:v>
                </c:pt>
                <c:pt idx="7">
                  <c:v>98</c:v>
                </c:pt>
                <c:pt idx="8">
                  <c:v>99</c:v>
                </c:pt>
                <c:pt idx="9">
                  <c:v>98</c:v>
                </c:pt>
                <c:pt idx="10">
                  <c:v>95</c:v>
                </c:pt>
                <c:pt idx="11">
                  <c:v>100</c:v>
                </c:pt>
                <c:pt idx="12">
                  <c:v>100</c:v>
                </c:pt>
                <c:pt idx="13">
                  <c:v>92</c:v>
                </c:pt>
                <c:pt idx="14">
                  <c:v>100</c:v>
                </c:pt>
              </c:numCache>
            </c:numRef>
          </c:val>
          <c:smooth val="0"/>
          <c:extLst>
            <c:ext xmlns:c16="http://schemas.microsoft.com/office/drawing/2014/chart" uri="{C3380CC4-5D6E-409C-BE32-E72D297353CC}">
              <c16:uniqueId val="{00000000-FBE3-4907-B136-92FC7750A7E1}"/>
            </c:ext>
          </c:extLst>
        </c:ser>
        <c:dLbls>
          <c:showLegendKey val="0"/>
          <c:showVal val="0"/>
          <c:showCatName val="0"/>
          <c:showSerName val="0"/>
          <c:showPercent val="0"/>
          <c:showBubbleSize val="0"/>
        </c:dLbls>
        <c:marker val="1"/>
        <c:smooth val="0"/>
        <c:axId val="166916864"/>
        <c:axId val="166918400"/>
      </c:lineChart>
      <c:catAx>
        <c:axId val="166916864"/>
        <c:scaling>
          <c:orientation val="minMax"/>
        </c:scaling>
        <c:delete val="0"/>
        <c:axPos val="b"/>
        <c:numFmt formatCode="dd/mm/yy" sourceLinked="0"/>
        <c:majorTickMark val="out"/>
        <c:minorTickMark val="none"/>
        <c:tickLblPos val="nextTo"/>
        <c:spPr>
          <a:ln>
            <a:noFill/>
          </a:ln>
        </c:spPr>
        <c:txPr>
          <a:bodyPr rot="-5400000" vert="horz"/>
          <a:lstStyle/>
          <a:p>
            <a:pPr>
              <a:defRPr sz="600">
                <a:latin typeface="Arial" panose="020B0604020202020204" pitchFamily="34" charset="0"/>
                <a:cs typeface="Arial" panose="020B0604020202020204" pitchFamily="34" charset="0"/>
              </a:defRPr>
            </a:pPr>
            <a:endParaRPr lang="en-US"/>
          </a:p>
        </c:txPr>
        <c:crossAx val="166918400"/>
        <c:crosses val="autoZero"/>
        <c:auto val="0"/>
        <c:lblAlgn val="ctr"/>
        <c:lblOffset val="100"/>
        <c:tickLblSkip val="1"/>
        <c:noMultiLvlLbl val="1"/>
      </c:catAx>
      <c:valAx>
        <c:axId val="166918400"/>
        <c:scaling>
          <c:orientation val="minMax"/>
          <c:min val="0"/>
        </c:scaling>
        <c:delete val="0"/>
        <c:axPos val="l"/>
        <c:majorGridlines>
          <c:spPr>
            <a:ln w="6350">
              <a:solidFill>
                <a:schemeClr val="bg1">
                  <a:lumMod val="75000"/>
                </a:schemeClr>
              </a:solidFill>
            </a:ln>
          </c:spPr>
        </c:majorGridlines>
        <c:numFmt formatCode="General" sourceLinked="1"/>
        <c:majorTickMark val="out"/>
        <c:minorTickMark val="none"/>
        <c:tickLblPos val="nextTo"/>
        <c:spPr>
          <a:ln>
            <a:noFill/>
          </a:ln>
        </c:spPr>
        <c:txPr>
          <a:bodyPr/>
          <a:lstStyle/>
          <a:p>
            <a:pPr>
              <a:defRPr sz="800">
                <a:latin typeface="Arial" panose="020B0604020202020204" pitchFamily="34" charset="0"/>
                <a:cs typeface="Arial" panose="020B0604020202020204" pitchFamily="34" charset="0"/>
              </a:defRPr>
            </a:pPr>
            <a:endParaRPr lang="en-US"/>
          </a:p>
        </c:txPr>
        <c:crossAx val="166916864"/>
        <c:crosses val="autoZero"/>
        <c:crossBetween val="between"/>
        <c:majorUnit val="10"/>
      </c:valAx>
    </c:plotArea>
    <c:plotVisOnly val="1"/>
    <c:dispBlanksAs val="gap"/>
    <c:showDLblsOverMax val="0"/>
  </c:chart>
  <c:spPr>
    <a:ln w="6350">
      <a:solidFill>
        <a:sysClr val="window" lastClr="FFFFFF">
          <a:lumMod val="75000"/>
        </a:sysClr>
      </a:solid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Arial" panose="020B0604020202020204" pitchFamily="34" charset="0"/>
                <a:cs typeface="Arial" panose="020B0604020202020204" pitchFamily="34" charset="0"/>
              </a:defRPr>
            </a:pPr>
            <a:r>
              <a:rPr lang="en-GB"/>
              <a:t>% Complaints</a:t>
            </a:r>
            <a:r>
              <a:rPr lang="en-GB" baseline="0"/>
              <a:t> responded to in 25 working days </a:t>
            </a:r>
            <a:endParaRPr lang="en-GB"/>
          </a:p>
        </c:rich>
      </c:tx>
      <c:layout/>
      <c:overlay val="0"/>
    </c:title>
    <c:autoTitleDeleted val="0"/>
    <c:plotArea>
      <c:layout>
        <c:manualLayout>
          <c:layoutTarget val="inner"/>
          <c:xMode val="edge"/>
          <c:yMode val="edge"/>
          <c:x val="5.0203019323671501E-2"/>
          <c:y val="8.9222824401014575E-2"/>
          <c:w val="0.94212789855072465"/>
          <c:h val="0.7432099779201109"/>
        </c:manualLayout>
      </c:layout>
      <c:lineChart>
        <c:grouping val="standard"/>
        <c:varyColors val="0"/>
        <c:ser>
          <c:idx val="0"/>
          <c:order val="0"/>
          <c:tx>
            <c:strRef>
              <c:f>'[Complaints closed TEMPLATE SPC CHART.xlsx]chart template'!$B$1</c:f>
              <c:strCache>
                <c:ptCount val="1"/>
                <c:pt idx="0">
                  <c:v>Values</c:v>
                </c:pt>
              </c:strCache>
            </c:strRef>
          </c:tx>
          <c:spPr>
            <a:ln w="15875">
              <a:solidFill>
                <a:schemeClr val="tx1"/>
              </a:solidFill>
            </a:ln>
          </c:spPr>
          <c:marker>
            <c:symbol val="diamond"/>
            <c:size val="3"/>
            <c:spPr>
              <a:solidFill>
                <a:schemeClr val="tx1"/>
              </a:solidFill>
              <a:ln>
                <a:noFill/>
              </a:ln>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'[Complaints closed TEMPLATE SPC CHART.xlsx]chart template'!$A$59:$A$82</c:f>
              <c:numCache>
                <c:formatCode>mmm\-yy</c:formatCode>
                <c:ptCount val="24"/>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pt idx="12">
                  <c:v>45017</c:v>
                </c:pt>
                <c:pt idx="13">
                  <c:v>45047</c:v>
                </c:pt>
                <c:pt idx="14">
                  <c:v>45078</c:v>
                </c:pt>
                <c:pt idx="15">
                  <c:v>45108</c:v>
                </c:pt>
                <c:pt idx="16">
                  <c:v>45139</c:v>
                </c:pt>
                <c:pt idx="17">
                  <c:v>45170</c:v>
                </c:pt>
                <c:pt idx="18">
                  <c:v>45200</c:v>
                </c:pt>
                <c:pt idx="19">
                  <c:v>45231</c:v>
                </c:pt>
                <c:pt idx="20">
                  <c:v>45261</c:v>
                </c:pt>
                <c:pt idx="21">
                  <c:v>45292</c:v>
                </c:pt>
                <c:pt idx="22">
                  <c:v>45323</c:v>
                </c:pt>
                <c:pt idx="23">
                  <c:v>45352</c:v>
                </c:pt>
              </c:numCache>
            </c:numRef>
          </c:cat>
          <c:val>
            <c:numRef>
              <c:f>'[Complaints closed TEMPLATE SPC CHART.xlsx]chart template'!$B$59:$B$82</c:f>
              <c:numCache>
                <c:formatCode>General</c:formatCode>
                <c:ptCount val="24"/>
                <c:pt idx="0">
                  <c:v>89</c:v>
                </c:pt>
                <c:pt idx="1">
                  <c:v>97</c:v>
                </c:pt>
                <c:pt idx="2">
                  <c:v>97</c:v>
                </c:pt>
                <c:pt idx="3">
                  <c:v>91</c:v>
                </c:pt>
                <c:pt idx="4">
                  <c:v>89</c:v>
                </c:pt>
                <c:pt idx="5">
                  <c:v>76</c:v>
                </c:pt>
                <c:pt idx="6">
                  <c:v>93</c:v>
                </c:pt>
                <c:pt idx="7">
                  <c:v>98</c:v>
                </c:pt>
                <c:pt idx="8">
                  <c:v>76</c:v>
                </c:pt>
                <c:pt idx="9">
                  <c:v>88</c:v>
                </c:pt>
                <c:pt idx="10">
                  <c:v>67</c:v>
                </c:pt>
                <c:pt idx="11">
                  <c:v>65</c:v>
                </c:pt>
                <c:pt idx="12">
                  <c:v>84</c:v>
                </c:pt>
                <c:pt idx="13">
                  <c:v>93</c:v>
                </c:pt>
                <c:pt idx="14">
                  <c:v>100</c:v>
                </c:pt>
                <c:pt idx="15">
                  <c:v>90</c:v>
                </c:pt>
                <c:pt idx="16">
                  <c:v>89</c:v>
                </c:pt>
                <c:pt idx="17">
                  <c:v>91</c:v>
                </c:pt>
                <c:pt idx="18">
                  <c:v>84</c:v>
                </c:pt>
                <c:pt idx="19">
                  <c:v>83</c:v>
                </c:pt>
                <c:pt idx="20">
                  <c:v>88</c:v>
                </c:pt>
                <c:pt idx="21">
                  <c:v>97</c:v>
                </c:pt>
                <c:pt idx="22">
                  <c:v>95</c:v>
                </c:pt>
                <c:pt idx="23">
                  <c:v>85</c:v>
                </c:pt>
              </c:numCache>
            </c:numRef>
          </c:val>
          <c:smooth val="0"/>
          <c:extLst>
            <c:ext xmlns:c16="http://schemas.microsoft.com/office/drawing/2014/chart" uri="{C3380CC4-5D6E-409C-BE32-E72D297353CC}">
              <c16:uniqueId val="{00000000-CA49-42C7-B6AF-796D3996F2F3}"/>
            </c:ext>
          </c:extLst>
        </c:ser>
        <c:ser>
          <c:idx val="1"/>
          <c:order val="1"/>
          <c:tx>
            <c:strRef>
              <c:f>'[Complaints closed TEMPLATE SPC CHART.xlsx]chart template'!$C$1</c:f>
              <c:strCache>
                <c:ptCount val="1"/>
                <c:pt idx="0">
                  <c:v>Average</c:v>
                </c:pt>
              </c:strCache>
            </c:strRef>
          </c:tx>
          <c:spPr>
            <a:ln w="25400">
              <a:solidFill>
                <a:srgbClr val="FF0000"/>
              </a:solidFill>
            </a:ln>
          </c:spPr>
          <c:marker>
            <c:symbol val="none"/>
          </c:marker>
          <c:cat>
            <c:numRef>
              <c:f>'[Complaints closed TEMPLATE SPC CHART.xlsx]chart template'!$A$59:$A$82</c:f>
              <c:numCache>
                <c:formatCode>mmm\-yy</c:formatCode>
                <c:ptCount val="24"/>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pt idx="12">
                  <c:v>45017</c:v>
                </c:pt>
                <c:pt idx="13">
                  <c:v>45047</c:v>
                </c:pt>
                <c:pt idx="14">
                  <c:v>45078</c:v>
                </c:pt>
                <c:pt idx="15">
                  <c:v>45108</c:v>
                </c:pt>
                <c:pt idx="16">
                  <c:v>45139</c:v>
                </c:pt>
                <c:pt idx="17">
                  <c:v>45170</c:v>
                </c:pt>
                <c:pt idx="18">
                  <c:v>45200</c:v>
                </c:pt>
                <c:pt idx="19">
                  <c:v>45231</c:v>
                </c:pt>
                <c:pt idx="20">
                  <c:v>45261</c:v>
                </c:pt>
                <c:pt idx="21">
                  <c:v>45292</c:v>
                </c:pt>
                <c:pt idx="22">
                  <c:v>45323</c:v>
                </c:pt>
                <c:pt idx="23">
                  <c:v>45352</c:v>
                </c:pt>
              </c:numCache>
            </c:numRef>
          </c:cat>
          <c:val>
            <c:numRef>
              <c:f>'[Complaints closed TEMPLATE SPC CHART.xlsx]chart template'!$C$59:$C$82</c:f>
              <c:numCache>
                <c:formatCode>General</c:formatCode>
                <c:ptCount val="24"/>
                <c:pt idx="0">
                  <c:v>91.294117647058826</c:v>
                </c:pt>
                <c:pt idx="1">
                  <c:v>91.294117647058826</c:v>
                </c:pt>
                <c:pt idx="2">
                  <c:v>91.294117647058826</c:v>
                </c:pt>
                <c:pt idx="3">
                  <c:v>91.294117647058826</c:v>
                </c:pt>
                <c:pt idx="4">
                  <c:v>91.294117647058826</c:v>
                </c:pt>
                <c:pt idx="5">
                  <c:v>91.294117647058826</c:v>
                </c:pt>
                <c:pt idx="6">
                  <c:v>91.294117647058826</c:v>
                </c:pt>
                <c:pt idx="7">
                  <c:v>91.294117647058826</c:v>
                </c:pt>
                <c:pt idx="8">
                  <c:v>91.294117647058826</c:v>
                </c:pt>
                <c:pt idx="9">
                  <c:v>91.294117647058826</c:v>
                </c:pt>
                <c:pt idx="10">
                  <c:v>91.294117647058826</c:v>
                </c:pt>
                <c:pt idx="11">
                  <c:v>91.294117647058826</c:v>
                </c:pt>
                <c:pt idx="12">
                  <c:v>91.294117647058826</c:v>
                </c:pt>
                <c:pt idx="13">
                  <c:v>91.294117647058826</c:v>
                </c:pt>
                <c:pt idx="14">
                  <c:v>91.294117647058826</c:v>
                </c:pt>
                <c:pt idx="15">
                  <c:v>91.294117647058826</c:v>
                </c:pt>
                <c:pt idx="16">
                  <c:v>91.294117647058826</c:v>
                </c:pt>
                <c:pt idx="17">
                  <c:v>91.294117647058826</c:v>
                </c:pt>
                <c:pt idx="18">
                  <c:v>91.294117647058826</c:v>
                </c:pt>
                <c:pt idx="19">
                  <c:v>91.294117647058826</c:v>
                </c:pt>
                <c:pt idx="20">
                  <c:v>91.294117647058826</c:v>
                </c:pt>
                <c:pt idx="21">
                  <c:v>91.294117647058826</c:v>
                </c:pt>
                <c:pt idx="22">
                  <c:v>91.294117647058826</c:v>
                </c:pt>
                <c:pt idx="23">
                  <c:v>91.294117647058826</c:v>
                </c:pt>
              </c:numCache>
            </c:numRef>
          </c:val>
          <c:smooth val="0"/>
          <c:extLst>
            <c:ext xmlns:c16="http://schemas.microsoft.com/office/drawing/2014/chart" uri="{C3380CC4-5D6E-409C-BE32-E72D297353CC}">
              <c16:uniqueId val="{00000001-CA49-42C7-B6AF-796D3996F2F3}"/>
            </c:ext>
          </c:extLst>
        </c:ser>
        <c:ser>
          <c:idx val="2"/>
          <c:order val="2"/>
          <c:tx>
            <c:strRef>
              <c:f>'[Complaints closed TEMPLATE SPC CHART.xlsx]chart template'!$D$1</c:f>
              <c:strCache>
                <c:ptCount val="1"/>
                <c:pt idx="0">
                  <c:v>Upper limit</c:v>
                </c:pt>
              </c:strCache>
            </c:strRef>
          </c:tx>
          <c:spPr>
            <a:ln w="25400">
              <a:solidFill>
                <a:srgbClr val="0070C0"/>
              </a:solidFill>
            </a:ln>
          </c:spPr>
          <c:marker>
            <c:symbol val="none"/>
          </c:marker>
          <c:cat>
            <c:numRef>
              <c:f>'[Complaints closed TEMPLATE SPC CHART.xlsx]chart template'!$A$59:$A$82</c:f>
              <c:numCache>
                <c:formatCode>mmm\-yy</c:formatCode>
                <c:ptCount val="24"/>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pt idx="12">
                  <c:v>45017</c:v>
                </c:pt>
                <c:pt idx="13">
                  <c:v>45047</c:v>
                </c:pt>
                <c:pt idx="14">
                  <c:v>45078</c:v>
                </c:pt>
                <c:pt idx="15">
                  <c:v>45108</c:v>
                </c:pt>
                <c:pt idx="16">
                  <c:v>45139</c:v>
                </c:pt>
                <c:pt idx="17">
                  <c:v>45170</c:v>
                </c:pt>
                <c:pt idx="18">
                  <c:v>45200</c:v>
                </c:pt>
                <c:pt idx="19">
                  <c:v>45231</c:v>
                </c:pt>
                <c:pt idx="20">
                  <c:v>45261</c:v>
                </c:pt>
                <c:pt idx="21">
                  <c:v>45292</c:v>
                </c:pt>
                <c:pt idx="22">
                  <c:v>45323</c:v>
                </c:pt>
                <c:pt idx="23">
                  <c:v>45352</c:v>
                </c:pt>
              </c:numCache>
            </c:numRef>
          </c:cat>
          <c:val>
            <c:numRef>
              <c:f>'[Complaints closed TEMPLATE SPC CHART.xlsx]chart template'!$D$59:$D$82</c:f>
              <c:numCache>
                <c:formatCode>General</c:formatCode>
                <c:ptCount val="24"/>
                <c:pt idx="0">
                  <c:v>100.28424382716049</c:v>
                </c:pt>
                <c:pt idx="1">
                  <c:v>100.28424382716049</c:v>
                </c:pt>
                <c:pt idx="2">
                  <c:v>100.28424382716049</c:v>
                </c:pt>
                <c:pt idx="3">
                  <c:v>100.28424382716049</c:v>
                </c:pt>
                <c:pt idx="4">
                  <c:v>100.28424382716049</c:v>
                </c:pt>
                <c:pt idx="5">
                  <c:v>100.28424382716049</c:v>
                </c:pt>
                <c:pt idx="6">
                  <c:v>100.28424382716049</c:v>
                </c:pt>
                <c:pt idx="7">
                  <c:v>100.28424382716049</c:v>
                </c:pt>
                <c:pt idx="8">
                  <c:v>100.28424382716049</c:v>
                </c:pt>
                <c:pt idx="9">
                  <c:v>100.28424382716049</c:v>
                </c:pt>
                <c:pt idx="10">
                  <c:v>100.28424382716049</c:v>
                </c:pt>
                <c:pt idx="11">
                  <c:v>100.28424382716049</c:v>
                </c:pt>
                <c:pt idx="12">
                  <c:v>100.28424382716049</c:v>
                </c:pt>
                <c:pt idx="13">
                  <c:v>100.28424382716049</c:v>
                </c:pt>
                <c:pt idx="14">
                  <c:v>100.28424382716049</c:v>
                </c:pt>
                <c:pt idx="15">
                  <c:v>100.28424382716049</c:v>
                </c:pt>
                <c:pt idx="16">
                  <c:v>100.28424382716049</c:v>
                </c:pt>
                <c:pt idx="17">
                  <c:v>100.28424382716049</c:v>
                </c:pt>
                <c:pt idx="18">
                  <c:v>100.28424382716049</c:v>
                </c:pt>
                <c:pt idx="19">
                  <c:v>100.28424382716049</c:v>
                </c:pt>
                <c:pt idx="20">
                  <c:v>100.28424382716049</c:v>
                </c:pt>
                <c:pt idx="21">
                  <c:v>100.28424382716049</c:v>
                </c:pt>
                <c:pt idx="22">
                  <c:v>100.28424382716049</c:v>
                </c:pt>
                <c:pt idx="23">
                  <c:v>100.28424382716049</c:v>
                </c:pt>
              </c:numCache>
            </c:numRef>
          </c:val>
          <c:smooth val="0"/>
          <c:extLst>
            <c:ext xmlns:c16="http://schemas.microsoft.com/office/drawing/2014/chart" uri="{C3380CC4-5D6E-409C-BE32-E72D297353CC}">
              <c16:uniqueId val="{00000002-CA49-42C7-B6AF-796D3996F2F3}"/>
            </c:ext>
          </c:extLst>
        </c:ser>
        <c:ser>
          <c:idx val="3"/>
          <c:order val="3"/>
          <c:tx>
            <c:strRef>
              <c:f>'[Complaints closed TEMPLATE SPC CHART.xlsx]chart template'!$E$1</c:f>
              <c:strCache>
                <c:ptCount val="1"/>
                <c:pt idx="0">
                  <c:v>Lower limit</c:v>
                </c:pt>
              </c:strCache>
            </c:strRef>
          </c:tx>
          <c:spPr>
            <a:ln w="25400">
              <a:solidFill>
                <a:srgbClr val="00B050"/>
              </a:solidFill>
            </a:ln>
          </c:spPr>
          <c:marker>
            <c:symbol val="none"/>
          </c:marker>
          <c:cat>
            <c:numRef>
              <c:f>'[Complaints closed TEMPLATE SPC CHART.xlsx]chart template'!$A$59:$A$82</c:f>
              <c:numCache>
                <c:formatCode>mmm\-yy</c:formatCode>
                <c:ptCount val="24"/>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pt idx="12">
                  <c:v>45017</c:v>
                </c:pt>
                <c:pt idx="13">
                  <c:v>45047</c:v>
                </c:pt>
                <c:pt idx="14">
                  <c:v>45078</c:v>
                </c:pt>
                <c:pt idx="15">
                  <c:v>45108</c:v>
                </c:pt>
                <c:pt idx="16">
                  <c:v>45139</c:v>
                </c:pt>
                <c:pt idx="17">
                  <c:v>45170</c:v>
                </c:pt>
                <c:pt idx="18">
                  <c:v>45200</c:v>
                </c:pt>
                <c:pt idx="19">
                  <c:v>45231</c:v>
                </c:pt>
                <c:pt idx="20">
                  <c:v>45261</c:v>
                </c:pt>
                <c:pt idx="21">
                  <c:v>45292</c:v>
                </c:pt>
                <c:pt idx="22">
                  <c:v>45323</c:v>
                </c:pt>
                <c:pt idx="23">
                  <c:v>45352</c:v>
                </c:pt>
              </c:numCache>
            </c:numRef>
          </c:cat>
          <c:val>
            <c:numRef>
              <c:f>'[Complaints closed TEMPLATE SPC CHART.xlsx]chart template'!$E$59:$E$82</c:f>
              <c:numCache>
                <c:formatCode>General</c:formatCode>
                <c:ptCount val="24"/>
                <c:pt idx="0">
                  <c:v>76.141617647058823</c:v>
                </c:pt>
                <c:pt idx="1">
                  <c:v>76.141617647058823</c:v>
                </c:pt>
                <c:pt idx="2">
                  <c:v>76.141617647058823</c:v>
                </c:pt>
                <c:pt idx="3">
                  <c:v>76.141617647058823</c:v>
                </c:pt>
                <c:pt idx="4">
                  <c:v>76.141617647058823</c:v>
                </c:pt>
                <c:pt idx="5">
                  <c:v>76.141617647058823</c:v>
                </c:pt>
                <c:pt idx="6">
                  <c:v>76.141617647058823</c:v>
                </c:pt>
                <c:pt idx="7">
                  <c:v>76.141617647058823</c:v>
                </c:pt>
                <c:pt idx="8">
                  <c:v>76.141617647058823</c:v>
                </c:pt>
                <c:pt idx="9">
                  <c:v>76.141617647058823</c:v>
                </c:pt>
                <c:pt idx="10">
                  <c:v>76.141617647058823</c:v>
                </c:pt>
                <c:pt idx="11">
                  <c:v>76.141617647058823</c:v>
                </c:pt>
                <c:pt idx="12">
                  <c:v>76.141617647058823</c:v>
                </c:pt>
                <c:pt idx="13">
                  <c:v>76.141617647058823</c:v>
                </c:pt>
                <c:pt idx="14">
                  <c:v>76.141617647058823</c:v>
                </c:pt>
                <c:pt idx="15">
                  <c:v>76.141617647058823</c:v>
                </c:pt>
                <c:pt idx="16">
                  <c:v>76.141617647058823</c:v>
                </c:pt>
                <c:pt idx="17">
                  <c:v>76.141617647058823</c:v>
                </c:pt>
                <c:pt idx="18">
                  <c:v>76.141617647058823</c:v>
                </c:pt>
                <c:pt idx="19">
                  <c:v>76.141617647058823</c:v>
                </c:pt>
                <c:pt idx="20">
                  <c:v>76.141617647058823</c:v>
                </c:pt>
                <c:pt idx="21">
                  <c:v>76.141617647058823</c:v>
                </c:pt>
                <c:pt idx="22">
                  <c:v>76.141617647058823</c:v>
                </c:pt>
                <c:pt idx="23">
                  <c:v>76.141617647058823</c:v>
                </c:pt>
              </c:numCache>
            </c:numRef>
          </c:val>
          <c:smooth val="0"/>
          <c:extLst>
            <c:ext xmlns:c16="http://schemas.microsoft.com/office/drawing/2014/chart" uri="{C3380CC4-5D6E-409C-BE32-E72D297353CC}">
              <c16:uniqueId val="{00000003-CA49-42C7-B6AF-796D3996F2F3}"/>
            </c:ext>
          </c:extLst>
        </c:ser>
        <c:dLbls>
          <c:showLegendKey val="0"/>
          <c:showVal val="0"/>
          <c:showCatName val="0"/>
          <c:showSerName val="0"/>
          <c:showPercent val="0"/>
          <c:showBubbleSize val="0"/>
        </c:dLbls>
        <c:marker val="1"/>
        <c:smooth val="0"/>
        <c:axId val="169861888"/>
        <c:axId val="169863424"/>
      </c:lineChart>
      <c:catAx>
        <c:axId val="169861888"/>
        <c:scaling>
          <c:orientation val="minMax"/>
        </c:scaling>
        <c:delete val="0"/>
        <c:axPos val="b"/>
        <c:numFmt formatCode="dd/mm/yy" sourceLinked="0"/>
        <c:majorTickMark val="out"/>
        <c:minorTickMark val="none"/>
        <c:tickLblPos val="nextTo"/>
        <c:spPr>
          <a:ln>
            <a:noFill/>
          </a:ln>
        </c:spPr>
        <c:txPr>
          <a:bodyPr rot="-5400000" vert="horz"/>
          <a:lstStyle/>
          <a:p>
            <a:pPr>
              <a:defRPr sz="600">
                <a:latin typeface="Arial" panose="020B0604020202020204" pitchFamily="34" charset="0"/>
                <a:cs typeface="Arial" panose="020B0604020202020204" pitchFamily="34" charset="0"/>
              </a:defRPr>
            </a:pPr>
            <a:endParaRPr lang="en-US"/>
          </a:p>
        </c:txPr>
        <c:crossAx val="169863424"/>
        <c:crosses val="autoZero"/>
        <c:auto val="0"/>
        <c:lblAlgn val="ctr"/>
        <c:lblOffset val="100"/>
        <c:tickLblSkip val="1"/>
        <c:noMultiLvlLbl val="1"/>
      </c:catAx>
      <c:valAx>
        <c:axId val="169863424"/>
        <c:scaling>
          <c:orientation val="minMax"/>
          <c:min val="0"/>
        </c:scaling>
        <c:delete val="0"/>
        <c:axPos val="l"/>
        <c:majorGridlines>
          <c:spPr>
            <a:ln w="6350">
              <a:solidFill>
                <a:schemeClr val="bg1">
                  <a:lumMod val="75000"/>
                </a:schemeClr>
              </a:solidFill>
            </a:ln>
          </c:spPr>
        </c:majorGridlines>
        <c:numFmt formatCode="General" sourceLinked="1"/>
        <c:majorTickMark val="out"/>
        <c:minorTickMark val="none"/>
        <c:tickLblPos val="nextTo"/>
        <c:spPr>
          <a:ln>
            <a:noFill/>
          </a:ln>
        </c:spPr>
        <c:txPr>
          <a:bodyPr/>
          <a:lstStyle/>
          <a:p>
            <a:pPr>
              <a:defRPr sz="800">
                <a:latin typeface="Arial" panose="020B0604020202020204" pitchFamily="34" charset="0"/>
                <a:cs typeface="Arial" panose="020B0604020202020204" pitchFamily="34" charset="0"/>
              </a:defRPr>
            </a:pPr>
            <a:endParaRPr lang="en-US"/>
          </a:p>
        </c:txPr>
        <c:crossAx val="169861888"/>
        <c:crosses val="autoZero"/>
        <c:crossBetween val="between"/>
        <c:majorUnit val="10"/>
      </c:valAx>
    </c:plotArea>
    <c:legend>
      <c:legendPos val="b"/>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w="6350">
      <a:solidFill>
        <a:sysClr val="window" lastClr="FFFFFF">
          <a:lumMod val="75000"/>
        </a:sysClr>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Inpatient FFT Satisfaction %</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Inpatient!$B$3</c:f>
              <c:strCache>
                <c:ptCount val="1"/>
                <c:pt idx="0">
                  <c:v>CWFT</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Inpatient!$C$1:$N$2</c:f>
              <c:strCache>
                <c:ptCount val="12"/>
                <c:pt idx="0">
                  <c:v>Apr-23</c:v>
                </c:pt>
                <c:pt idx="1">
                  <c:v>May-23</c:v>
                </c:pt>
                <c:pt idx="2">
                  <c:v>Jun-23</c:v>
                </c:pt>
                <c:pt idx="3">
                  <c:v>Jul-23</c:v>
                </c:pt>
                <c:pt idx="4">
                  <c:v>Aug-23</c:v>
                </c:pt>
                <c:pt idx="5">
                  <c:v>Sep-23</c:v>
                </c:pt>
                <c:pt idx="6">
                  <c:v>Oct-23</c:v>
                </c:pt>
                <c:pt idx="7">
                  <c:v>Nov-23</c:v>
                </c:pt>
                <c:pt idx="8">
                  <c:v>Dec-23</c:v>
                </c:pt>
                <c:pt idx="9">
                  <c:v>Jan-24</c:v>
                </c:pt>
                <c:pt idx="10">
                  <c:v>Feb-24</c:v>
                </c:pt>
                <c:pt idx="11">
                  <c:v>Mar-24</c:v>
                </c:pt>
              </c:strCache>
            </c:strRef>
          </c:cat>
          <c:val>
            <c:numRef>
              <c:f>Inpatient!$C$3:$N$3</c:f>
              <c:numCache>
                <c:formatCode>0%</c:formatCode>
                <c:ptCount val="12"/>
                <c:pt idx="0">
                  <c:v>0.96</c:v>
                </c:pt>
                <c:pt idx="1">
                  <c:v>0.97</c:v>
                </c:pt>
                <c:pt idx="2">
                  <c:v>0.96</c:v>
                </c:pt>
                <c:pt idx="3">
                  <c:v>0.95</c:v>
                </c:pt>
                <c:pt idx="4">
                  <c:v>0.95</c:v>
                </c:pt>
                <c:pt idx="5">
                  <c:v>0.96</c:v>
                </c:pt>
                <c:pt idx="6">
                  <c:v>0.96</c:v>
                </c:pt>
                <c:pt idx="7">
                  <c:v>0.95</c:v>
                </c:pt>
                <c:pt idx="8">
                  <c:v>0.95</c:v>
                </c:pt>
                <c:pt idx="9">
                  <c:v>0.96</c:v>
                </c:pt>
                <c:pt idx="10">
                  <c:v>0.95</c:v>
                </c:pt>
                <c:pt idx="11">
                  <c:v>0.95</c:v>
                </c:pt>
              </c:numCache>
            </c:numRef>
          </c:val>
          <c:smooth val="0"/>
          <c:extLst>
            <c:ext xmlns:c16="http://schemas.microsoft.com/office/drawing/2014/chart" uri="{C3380CC4-5D6E-409C-BE32-E72D297353CC}">
              <c16:uniqueId val="{00000000-86AE-4BDA-BCEF-996885AC2455}"/>
            </c:ext>
          </c:extLst>
        </c:ser>
        <c:ser>
          <c:idx val="1"/>
          <c:order val="1"/>
          <c:tx>
            <c:strRef>
              <c:f>Inpatient!$B$4</c:f>
              <c:strCache>
                <c:ptCount val="1"/>
                <c:pt idx="0">
                  <c:v>NWL</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Inpatient!$C$1:$N$2</c:f>
              <c:strCache>
                <c:ptCount val="12"/>
                <c:pt idx="0">
                  <c:v>Apr-23</c:v>
                </c:pt>
                <c:pt idx="1">
                  <c:v>May-23</c:v>
                </c:pt>
                <c:pt idx="2">
                  <c:v>Jun-23</c:v>
                </c:pt>
                <c:pt idx="3">
                  <c:v>Jul-23</c:v>
                </c:pt>
                <c:pt idx="4">
                  <c:v>Aug-23</c:v>
                </c:pt>
                <c:pt idx="5">
                  <c:v>Sep-23</c:v>
                </c:pt>
                <c:pt idx="6">
                  <c:v>Oct-23</c:v>
                </c:pt>
                <c:pt idx="7">
                  <c:v>Nov-23</c:v>
                </c:pt>
                <c:pt idx="8">
                  <c:v>Dec-23</c:v>
                </c:pt>
                <c:pt idx="9">
                  <c:v>Jan-24</c:v>
                </c:pt>
                <c:pt idx="10">
                  <c:v>Feb-24</c:v>
                </c:pt>
                <c:pt idx="11">
                  <c:v>Mar-24</c:v>
                </c:pt>
              </c:strCache>
            </c:strRef>
          </c:cat>
          <c:val>
            <c:numRef>
              <c:f>Inpatient!$C$4:$N$4</c:f>
              <c:numCache>
                <c:formatCode>0%</c:formatCode>
                <c:ptCount val="12"/>
                <c:pt idx="0">
                  <c:v>0.96</c:v>
                </c:pt>
                <c:pt idx="1">
                  <c:v>0.96</c:v>
                </c:pt>
                <c:pt idx="2">
                  <c:v>0.96</c:v>
                </c:pt>
                <c:pt idx="3">
                  <c:v>0.96</c:v>
                </c:pt>
                <c:pt idx="4">
                  <c:v>0.96</c:v>
                </c:pt>
                <c:pt idx="5">
                  <c:v>0.96</c:v>
                </c:pt>
                <c:pt idx="6">
                  <c:v>0.95</c:v>
                </c:pt>
                <c:pt idx="7">
                  <c:v>0.95</c:v>
                </c:pt>
                <c:pt idx="8">
                  <c:v>0.95</c:v>
                </c:pt>
                <c:pt idx="9">
                  <c:v>0.96</c:v>
                </c:pt>
                <c:pt idx="10">
                  <c:v>0.95</c:v>
                </c:pt>
                <c:pt idx="11">
                  <c:v>0.95</c:v>
                </c:pt>
              </c:numCache>
            </c:numRef>
          </c:val>
          <c:smooth val="0"/>
          <c:extLst>
            <c:ext xmlns:c16="http://schemas.microsoft.com/office/drawing/2014/chart" uri="{C3380CC4-5D6E-409C-BE32-E72D297353CC}">
              <c16:uniqueId val="{00000001-86AE-4BDA-BCEF-996885AC2455}"/>
            </c:ext>
          </c:extLst>
        </c:ser>
        <c:ser>
          <c:idx val="2"/>
          <c:order val="2"/>
          <c:tx>
            <c:strRef>
              <c:f>Inpatient!$B$5</c:f>
              <c:strCache>
                <c:ptCount val="1"/>
                <c:pt idx="0">
                  <c:v>National</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Inpatient!$C$1:$N$2</c:f>
              <c:strCache>
                <c:ptCount val="12"/>
                <c:pt idx="0">
                  <c:v>Apr-23</c:v>
                </c:pt>
                <c:pt idx="1">
                  <c:v>May-23</c:v>
                </c:pt>
                <c:pt idx="2">
                  <c:v>Jun-23</c:v>
                </c:pt>
                <c:pt idx="3">
                  <c:v>Jul-23</c:v>
                </c:pt>
                <c:pt idx="4">
                  <c:v>Aug-23</c:v>
                </c:pt>
                <c:pt idx="5">
                  <c:v>Sep-23</c:v>
                </c:pt>
                <c:pt idx="6">
                  <c:v>Oct-23</c:v>
                </c:pt>
                <c:pt idx="7">
                  <c:v>Nov-23</c:v>
                </c:pt>
                <c:pt idx="8">
                  <c:v>Dec-23</c:v>
                </c:pt>
                <c:pt idx="9">
                  <c:v>Jan-24</c:v>
                </c:pt>
                <c:pt idx="10">
                  <c:v>Feb-24</c:v>
                </c:pt>
                <c:pt idx="11">
                  <c:v>Mar-24</c:v>
                </c:pt>
              </c:strCache>
            </c:strRef>
          </c:cat>
          <c:val>
            <c:numRef>
              <c:f>Inpatient!$C$5:$N$5</c:f>
              <c:numCache>
                <c:formatCode>0%</c:formatCode>
                <c:ptCount val="12"/>
                <c:pt idx="0">
                  <c:v>0.94</c:v>
                </c:pt>
                <c:pt idx="1">
                  <c:v>0.95</c:v>
                </c:pt>
                <c:pt idx="2">
                  <c:v>0.95</c:v>
                </c:pt>
                <c:pt idx="3">
                  <c:v>0.95</c:v>
                </c:pt>
                <c:pt idx="4">
                  <c:v>0.94</c:v>
                </c:pt>
                <c:pt idx="5">
                  <c:v>0.94</c:v>
                </c:pt>
                <c:pt idx="6">
                  <c:v>0.94</c:v>
                </c:pt>
                <c:pt idx="7">
                  <c:v>0.94</c:v>
                </c:pt>
                <c:pt idx="8">
                  <c:v>0.94</c:v>
                </c:pt>
                <c:pt idx="9">
                  <c:v>0.94</c:v>
                </c:pt>
                <c:pt idx="10">
                  <c:v>0.94</c:v>
                </c:pt>
                <c:pt idx="11">
                  <c:v>0.94</c:v>
                </c:pt>
              </c:numCache>
            </c:numRef>
          </c:val>
          <c:smooth val="0"/>
          <c:extLst>
            <c:ext xmlns:c16="http://schemas.microsoft.com/office/drawing/2014/chart" uri="{C3380CC4-5D6E-409C-BE32-E72D297353CC}">
              <c16:uniqueId val="{00000002-86AE-4BDA-BCEF-996885AC2455}"/>
            </c:ext>
          </c:extLst>
        </c:ser>
        <c:dLbls>
          <c:showLegendKey val="0"/>
          <c:showVal val="0"/>
          <c:showCatName val="0"/>
          <c:showSerName val="0"/>
          <c:showPercent val="0"/>
          <c:showBubbleSize val="0"/>
        </c:dLbls>
        <c:smooth val="0"/>
        <c:axId val="1421723823"/>
        <c:axId val="1421724239"/>
      </c:lineChart>
      <c:catAx>
        <c:axId val="1421723823"/>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1724239"/>
        <c:crosses val="autoZero"/>
        <c:auto val="1"/>
        <c:lblAlgn val="ctr"/>
        <c:lblOffset val="100"/>
        <c:noMultiLvlLbl val="1"/>
      </c:catAx>
      <c:valAx>
        <c:axId val="14217242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172382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GB" sz="1200"/>
              <a:t>PC 25 day response compliance</a:t>
            </a:r>
          </a:p>
        </c:rich>
      </c:tx>
      <c:layout>
        <c:manualLayout>
          <c:xMode val="edge"/>
          <c:yMode val="edge"/>
          <c:x val="0.31611492818919112"/>
          <c:y val="2.6255620154636783E-2"/>
        </c:manualLayout>
      </c:layout>
      <c:overlay val="0"/>
    </c:title>
    <c:autoTitleDeleted val="0"/>
    <c:plotArea>
      <c:layout/>
      <c:lineChart>
        <c:grouping val="standard"/>
        <c:varyColors val="0"/>
        <c:ser>
          <c:idx val="0"/>
          <c:order val="0"/>
          <c:tx>
            <c:strRef>
              <c:f>Sheet1!$A$5</c:f>
              <c:strCache>
                <c:ptCount val="1"/>
                <c:pt idx="0">
                  <c:v>PC</c:v>
                </c:pt>
              </c:strCache>
            </c:strRef>
          </c:tx>
          <c:marker>
            <c:symbol val="none"/>
          </c:marker>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Sheet1!$M$3:$X$3</c:f>
              <c:strCache>
                <c:ptCount val="12"/>
                <c:pt idx="0">
                  <c:v>A</c:v>
                </c:pt>
                <c:pt idx="1">
                  <c:v>M</c:v>
                </c:pt>
                <c:pt idx="2">
                  <c:v>J</c:v>
                </c:pt>
                <c:pt idx="3">
                  <c:v>J</c:v>
                </c:pt>
                <c:pt idx="4">
                  <c:v>A</c:v>
                </c:pt>
                <c:pt idx="5">
                  <c:v>S</c:v>
                </c:pt>
                <c:pt idx="6">
                  <c:v>O</c:v>
                </c:pt>
                <c:pt idx="7">
                  <c:v>N</c:v>
                </c:pt>
                <c:pt idx="8">
                  <c:v>D</c:v>
                </c:pt>
                <c:pt idx="9">
                  <c:v>J</c:v>
                </c:pt>
                <c:pt idx="10">
                  <c:v>F</c:v>
                </c:pt>
                <c:pt idx="11">
                  <c:v>M</c:v>
                </c:pt>
              </c:strCache>
            </c:strRef>
          </c:cat>
          <c:val>
            <c:numRef>
              <c:f>Sheet1!$M$5:$X$5</c:f>
              <c:numCache>
                <c:formatCode>0%</c:formatCode>
                <c:ptCount val="12"/>
                <c:pt idx="0">
                  <c:v>0.92</c:v>
                </c:pt>
                <c:pt idx="1">
                  <c:v>0.91</c:v>
                </c:pt>
                <c:pt idx="2">
                  <c:v>1</c:v>
                </c:pt>
                <c:pt idx="3">
                  <c:v>0.8</c:v>
                </c:pt>
                <c:pt idx="4">
                  <c:v>0.89</c:v>
                </c:pt>
                <c:pt idx="5">
                  <c:v>0.75</c:v>
                </c:pt>
                <c:pt idx="6">
                  <c:v>0.67</c:v>
                </c:pt>
                <c:pt idx="7">
                  <c:v>0.85</c:v>
                </c:pt>
                <c:pt idx="8">
                  <c:v>1</c:v>
                </c:pt>
                <c:pt idx="9">
                  <c:v>1</c:v>
                </c:pt>
                <c:pt idx="10">
                  <c:v>1</c:v>
                </c:pt>
                <c:pt idx="11">
                  <c:v>1</c:v>
                </c:pt>
              </c:numCache>
            </c:numRef>
          </c:val>
          <c:smooth val="0"/>
          <c:extLst>
            <c:ext xmlns:c16="http://schemas.microsoft.com/office/drawing/2014/chart" uri="{C3380CC4-5D6E-409C-BE32-E72D297353CC}">
              <c16:uniqueId val="{00000000-42C0-4592-84AB-EE374194836C}"/>
            </c:ext>
          </c:extLst>
        </c:ser>
        <c:dLbls>
          <c:showLegendKey val="0"/>
          <c:showVal val="0"/>
          <c:showCatName val="0"/>
          <c:showSerName val="0"/>
          <c:showPercent val="0"/>
          <c:showBubbleSize val="0"/>
        </c:dLbls>
        <c:smooth val="0"/>
        <c:axId val="131536000"/>
        <c:axId val="131537536"/>
      </c:lineChart>
      <c:catAx>
        <c:axId val="131536000"/>
        <c:scaling>
          <c:orientation val="minMax"/>
        </c:scaling>
        <c:delete val="0"/>
        <c:axPos val="b"/>
        <c:numFmt formatCode="General" sourceLinked="0"/>
        <c:majorTickMark val="out"/>
        <c:minorTickMark val="none"/>
        <c:tickLblPos val="nextTo"/>
        <c:crossAx val="131537536"/>
        <c:crosses val="autoZero"/>
        <c:auto val="1"/>
        <c:lblAlgn val="ctr"/>
        <c:lblOffset val="100"/>
        <c:noMultiLvlLbl val="0"/>
      </c:catAx>
      <c:valAx>
        <c:axId val="131537536"/>
        <c:scaling>
          <c:orientation val="minMax"/>
          <c:max val="1"/>
        </c:scaling>
        <c:delete val="0"/>
        <c:axPos val="l"/>
        <c:majorGridlines/>
        <c:numFmt formatCode="0%" sourceLinked="1"/>
        <c:majorTickMark val="out"/>
        <c:minorTickMark val="none"/>
        <c:tickLblPos val="nextTo"/>
        <c:crossAx val="131536000"/>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EIC 25 day response compliance </a:t>
            </a:r>
          </a:p>
        </c:rich>
      </c:tx>
      <c:layout/>
      <c:overlay val="0"/>
    </c:title>
    <c:autoTitleDeleted val="0"/>
    <c:plotArea>
      <c:layout/>
      <c:lineChart>
        <c:grouping val="standard"/>
        <c:varyColors val="0"/>
        <c:ser>
          <c:idx val="0"/>
          <c:order val="0"/>
          <c:tx>
            <c:strRef>
              <c:f>Sheet1!$A$4</c:f>
              <c:strCache>
                <c:ptCount val="1"/>
                <c:pt idx="0">
                  <c:v>EIC</c:v>
                </c:pt>
              </c:strCache>
            </c:strRef>
          </c:tx>
          <c:marker>
            <c:symbol val="none"/>
          </c:marker>
          <c:dLbls>
            <c:dLbl>
              <c:idx val="20"/>
              <c:layout>
                <c:manualLayout>
                  <c:x val="-2.5850016474296796E-2"/>
                  <c:y val="4.05455062649192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6B-4472-B109-026DD0307818}"/>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Sheet1!$M$3:$X$3</c:f>
              <c:strCache>
                <c:ptCount val="12"/>
                <c:pt idx="0">
                  <c:v>A</c:v>
                </c:pt>
                <c:pt idx="1">
                  <c:v>M</c:v>
                </c:pt>
                <c:pt idx="2">
                  <c:v>J</c:v>
                </c:pt>
                <c:pt idx="3">
                  <c:v>J</c:v>
                </c:pt>
                <c:pt idx="4">
                  <c:v>A</c:v>
                </c:pt>
                <c:pt idx="5">
                  <c:v>S</c:v>
                </c:pt>
                <c:pt idx="6">
                  <c:v>O</c:v>
                </c:pt>
                <c:pt idx="7">
                  <c:v>N</c:v>
                </c:pt>
                <c:pt idx="8">
                  <c:v>D</c:v>
                </c:pt>
                <c:pt idx="9">
                  <c:v>J</c:v>
                </c:pt>
                <c:pt idx="10">
                  <c:v>F</c:v>
                </c:pt>
                <c:pt idx="11">
                  <c:v>M</c:v>
                </c:pt>
              </c:strCache>
            </c:strRef>
          </c:cat>
          <c:val>
            <c:numRef>
              <c:f>Sheet1!$M$4:$X$4</c:f>
              <c:numCache>
                <c:formatCode>0%</c:formatCode>
                <c:ptCount val="12"/>
                <c:pt idx="0">
                  <c:v>0.76</c:v>
                </c:pt>
                <c:pt idx="1">
                  <c:v>0.86</c:v>
                </c:pt>
                <c:pt idx="2">
                  <c:v>1</c:v>
                </c:pt>
                <c:pt idx="3">
                  <c:v>0.9</c:v>
                </c:pt>
                <c:pt idx="4">
                  <c:v>0.71</c:v>
                </c:pt>
                <c:pt idx="5">
                  <c:v>1</c:v>
                </c:pt>
                <c:pt idx="6">
                  <c:v>0.75</c:v>
                </c:pt>
                <c:pt idx="7">
                  <c:v>0.6</c:v>
                </c:pt>
                <c:pt idx="8">
                  <c:v>0.69</c:v>
                </c:pt>
                <c:pt idx="9">
                  <c:v>0.9</c:v>
                </c:pt>
                <c:pt idx="10">
                  <c:v>0.92</c:v>
                </c:pt>
                <c:pt idx="11">
                  <c:v>0.78</c:v>
                </c:pt>
              </c:numCache>
            </c:numRef>
          </c:val>
          <c:smooth val="0"/>
          <c:extLst>
            <c:ext xmlns:c16="http://schemas.microsoft.com/office/drawing/2014/chart" uri="{C3380CC4-5D6E-409C-BE32-E72D297353CC}">
              <c16:uniqueId val="{00000001-EC6B-4472-B109-026DD0307818}"/>
            </c:ext>
          </c:extLst>
        </c:ser>
        <c:dLbls>
          <c:showLegendKey val="0"/>
          <c:showVal val="0"/>
          <c:showCatName val="0"/>
          <c:showSerName val="0"/>
          <c:showPercent val="0"/>
          <c:showBubbleSize val="0"/>
        </c:dLbls>
        <c:smooth val="0"/>
        <c:axId val="131689088"/>
        <c:axId val="131690880"/>
      </c:lineChart>
      <c:catAx>
        <c:axId val="131689088"/>
        <c:scaling>
          <c:orientation val="minMax"/>
        </c:scaling>
        <c:delete val="0"/>
        <c:axPos val="b"/>
        <c:numFmt formatCode="General" sourceLinked="0"/>
        <c:majorTickMark val="out"/>
        <c:minorTickMark val="none"/>
        <c:tickLblPos val="nextTo"/>
        <c:crossAx val="131690880"/>
        <c:crosses val="autoZero"/>
        <c:auto val="1"/>
        <c:lblAlgn val="ctr"/>
        <c:lblOffset val="100"/>
        <c:noMultiLvlLbl val="0"/>
      </c:catAx>
      <c:valAx>
        <c:axId val="131690880"/>
        <c:scaling>
          <c:orientation val="minMax"/>
          <c:max val="1"/>
        </c:scaling>
        <c:delete val="0"/>
        <c:axPos val="l"/>
        <c:majorGridlines/>
        <c:numFmt formatCode="0%" sourceLinked="1"/>
        <c:majorTickMark val="out"/>
        <c:minorTickMark val="none"/>
        <c:tickLblPos val="nextTo"/>
        <c:crossAx val="131689088"/>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GB" sz="1200"/>
              <a:t>Specialist Care 25 day  response</a:t>
            </a:r>
            <a:r>
              <a:rPr lang="en-GB" sz="1200" baseline="0"/>
              <a:t> </a:t>
            </a:r>
            <a:r>
              <a:rPr lang="en-GB" sz="1200"/>
              <a:t>compliance</a:t>
            </a:r>
          </a:p>
        </c:rich>
      </c:tx>
      <c:layout>
        <c:manualLayout>
          <c:xMode val="edge"/>
          <c:yMode val="edge"/>
          <c:x val="0.25383333333333336"/>
          <c:y val="2.6190472098726394E-2"/>
        </c:manualLayout>
      </c:layout>
      <c:overlay val="0"/>
    </c:title>
    <c:autoTitleDeleted val="0"/>
    <c:plotArea>
      <c:layout/>
      <c:lineChart>
        <c:grouping val="standard"/>
        <c:varyColors val="0"/>
        <c:ser>
          <c:idx val="0"/>
          <c:order val="0"/>
          <c:tx>
            <c:strRef>
              <c:f>Sheet1!$A$7</c:f>
              <c:strCache>
                <c:ptCount val="1"/>
                <c:pt idx="0">
                  <c:v>Specialist Care</c:v>
                </c:pt>
              </c:strCache>
            </c:strRef>
          </c:tx>
          <c:marker>
            <c:symbol val="none"/>
          </c:marker>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Sheet1!$M$3:$X$3</c:f>
              <c:strCache>
                <c:ptCount val="12"/>
                <c:pt idx="0">
                  <c:v>A</c:v>
                </c:pt>
                <c:pt idx="1">
                  <c:v>M</c:v>
                </c:pt>
                <c:pt idx="2">
                  <c:v>J</c:v>
                </c:pt>
                <c:pt idx="3">
                  <c:v>J</c:v>
                </c:pt>
                <c:pt idx="4">
                  <c:v>A</c:v>
                </c:pt>
                <c:pt idx="5">
                  <c:v>S</c:v>
                </c:pt>
                <c:pt idx="6">
                  <c:v>O</c:v>
                </c:pt>
                <c:pt idx="7">
                  <c:v>N</c:v>
                </c:pt>
                <c:pt idx="8">
                  <c:v>D</c:v>
                </c:pt>
                <c:pt idx="9">
                  <c:v>J</c:v>
                </c:pt>
                <c:pt idx="10">
                  <c:v>F</c:v>
                </c:pt>
                <c:pt idx="11">
                  <c:v>M</c:v>
                </c:pt>
              </c:strCache>
            </c:strRef>
          </c:cat>
          <c:val>
            <c:numRef>
              <c:f>Sheet1!$M$7:$X$7</c:f>
              <c:numCache>
                <c:formatCode>0%</c:formatCode>
                <c:ptCount val="12"/>
                <c:pt idx="0">
                  <c:v>0.82</c:v>
                </c:pt>
                <c:pt idx="1">
                  <c:v>0.94</c:v>
                </c:pt>
                <c:pt idx="2">
                  <c:v>1</c:v>
                </c:pt>
                <c:pt idx="3">
                  <c:v>1</c:v>
                </c:pt>
                <c:pt idx="4">
                  <c:v>1</c:v>
                </c:pt>
                <c:pt idx="5">
                  <c:v>0.94</c:v>
                </c:pt>
                <c:pt idx="6">
                  <c:v>0.93</c:v>
                </c:pt>
                <c:pt idx="7">
                  <c:v>0.91</c:v>
                </c:pt>
                <c:pt idx="8">
                  <c:v>1</c:v>
                </c:pt>
                <c:pt idx="9">
                  <c:v>1</c:v>
                </c:pt>
                <c:pt idx="10">
                  <c:v>1</c:v>
                </c:pt>
                <c:pt idx="11">
                  <c:v>0.71</c:v>
                </c:pt>
              </c:numCache>
            </c:numRef>
          </c:val>
          <c:smooth val="0"/>
          <c:extLst>
            <c:ext xmlns:c16="http://schemas.microsoft.com/office/drawing/2014/chart" uri="{C3380CC4-5D6E-409C-BE32-E72D297353CC}">
              <c16:uniqueId val="{00000000-5CEF-41BE-BDDC-1D53755D8103}"/>
            </c:ext>
          </c:extLst>
        </c:ser>
        <c:dLbls>
          <c:showLegendKey val="0"/>
          <c:showVal val="0"/>
          <c:showCatName val="0"/>
          <c:showSerName val="0"/>
          <c:showPercent val="0"/>
          <c:showBubbleSize val="0"/>
        </c:dLbls>
        <c:smooth val="0"/>
        <c:axId val="131571072"/>
        <c:axId val="131572864"/>
      </c:lineChart>
      <c:catAx>
        <c:axId val="131571072"/>
        <c:scaling>
          <c:orientation val="minMax"/>
        </c:scaling>
        <c:delete val="0"/>
        <c:axPos val="b"/>
        <c:numFmt formatCode="General" sourceLinked="0"/>
        <c:majorTickMark val="out"/>
        <c:minorTickMark val="none"/>
        <c:tickLblPos val="nextTo"/>
        <c:crossAx val="131572864"/>
        <c:crosses val="autoZero"/>
        <c:auto val="1"/>
        <c:lblAlgn val="ctr"/>
        <c:lblOffset val="100"/>
        <c:noMultiLvlLbl val="0"/>
      </c:catAx>
      <c:valAx>
        <c:axId val="131572864"/>
        <c:scaling>
          <c:orientation val="minMax"/>
          <c:max val="1"/>
        </c:scaling>
        <c:delete val="0"/>
        <c:axPos val="l"/>
        <c:majorGridlines/>
        <c:numFmt formatCode="0%" sourceLinked="1"/>
        <c:majorTickMark val="out"/>
        <c:minorTickMark val="none"/>
        <c:tickLblPos val="nextTo"/>
        <c:crossAx val="131571072"/>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GB" sz="1200"/>
              <a:t>CSS 25 day response compliance</a:t>
            </a:r>
          </a:p>
        </c:rich>
      </c:tx>
      <c:layout>
        <c:manualLayout>
          <c:xMode val="edge"/>
          <c:yMode val="edge"/>
          <c:x val="0.29999804198542679"/>
          <c:y val="3.72226668387763E-2"/>
        </c:manualLayout>
      </c:layout>
      <c:overlay val="0"/>
    </c:title>
    <c:autoTitleDeleted val="0"/>
    <c:plotArea>
      <c:layout/>
      <c:lineChart>
        <c:grouping val="standard"/>
        <c:varyColors val="0"/>
        <c:ser>
          <c:idx val="0"/>
          <c:order val="0"/>
          <c:tx>
            <c:strRef>
              <c:f>Sheet1!$A$6</c:f>
              <c:strCache>
                <c:ptCount val="1"/>
                <c:pt idx="0">
                  <c:v>CSS</c:v>
                </c:pt>
              </c:strCache>
            </c:strRef>
          </c:tx>
          <c:marker>
            <c:symbol val="none"/>
          </c:marker>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Sheet1!$J$3:$X$3</c:f>
              <c:strCache>
                <c:ptCount val="15"/>
                <c:pt idx="0">
                  <c:v>J</c:v>
                </c:pt>
                <c:pt idx="1">
                  <c:v>F</c:v>
                </c:pt>
                <c:pt idx="2">
                  <c:v>M</c:v>
                </c:pt>
                <c:pt idx="3">
                  <c:v>A</c:v>
                </c:pt>
                <c:pt idx="4">
                  <c:v>M</c:v>
                </c:pt>
                <c:pt idx="5">
                  <c:v>J</c:v>
                </c:pt>
                <c:pt idx="6">
                  <c:v>J</c:v>
                </c:pt>
                <c:pt idx="7">
                  <c:v>A</c:v>
                </c:pt>
                <c:pt idx="8">
                  <c:v>S</c:v>
                </c:pt>
                <c:pt idx="9">
                  <c:v>O</c:v>
                </c:pt>
                <c:pt idx="10">
                  <c:v>N</c:v>
                </c:pt>
                <c:pt idx="11">
                  <c:v>D</c:v>
                </c:pt>
                <c:pt idx="12">
                  <c:v>J</c:v>
                </c:pt>
                <c:pt idx="13">
                  <c:v>F</c:v>
                </c:pt>
                <c:pt idx="14">
                  <c:v>M</c:v>
                </c:pt>
              </c:strCache>
            </c:strRef>
          </c:cat>
          <c:val>
            <c:numRef>
              <c:f>Sheet1!$J$6:$X$6</c:f>
              <c:numCache>
                <c:formatCode>0%</c:formatCode>
                <c:ptCount val="1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numCache>
            </c:numRef>
          </c:val>
          <c:smooth val="0"/>
          <c:extLst>
            <c:ext xmlns:c16="http://schemas.microsoft.com/office/drawing/2014/chart" uri="{C3380CC4-5D6E-409C-BE32-E72D297353CC}">
              <c16:uniqueId val="{00000000-B9F2-4D5B-AF44-19A2E1C8684F}"/>
            </c:ext>
          </c:extLst>
        </c:ser>
        <c:dLbls>
          <c:showLegendKey val="0"/>
          <c:showVal val="0"/>
          <c:showCatName val="0"/>
          <c:showSerName val="0"/>
          <c:showPercent val="0"/>
          <c:showBubbleSize val="0"/>
        </c:dLbls>
        <c:smooth val="0"/>
        <c:axId val="132003712"/>
        <c:axId val="132005248"/>
      </c:lineChart>
      <c:catAx>
        <c:axId val="132003712"/>
        <c:scaling>
          <c:orientation val="minMax"/>
        </c:scaling>
        <c:delete val="0"/>
        <c:axPos val="b"/>
        <c:numFmt formatCode="General" sourceLinked="0"/>
        <c:majorTickMark val="out"/>
        <c:minorTickMark val="none"/>
        <c:tickLblPos val="nextTo"/>
        <c:crossAx val="132005248"/>
        <c:crosses val="autoZero"/>
        <c:auto val="1"/>
        <c:lblAlgn val="ctr"/>
        <c:lblOffset val="100"/>
        <c:noMultiLvlLbl val="0"/>
      </c:catAx>
      <c:valAx>
        <c:axId val="132005248"/>
        <c:scaling>
          <c:orientation val="minMax"/>
          <c:max val="1"/>
        </c:scaling>
        <c:delete val="0"/>
        <c:axPos val="l"/>
        <c:majorGridlines/>
        <c:numFmt formatCode="0%" sourceLinked="1"/>
        <c:majorTickMark val="out"/>
        <c:minorTickMark val="none"/>
        <c:tickLblPos val="nextTo"/>
        <c:crossAx val="132003712"/>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West London Children's Healthcare</a:t>
            </a:r>
          </a:p>
          <a:p>
            <a:pPr>
              <a:defRPr sz="1200"/>
            </a:pPr>
            <a:r>
              <a:rPr lang="en-US" sz="1200"/>
              <a:t>25 day response compliance </a:t>
            </a:r>
          </a:p>
        </c:rich>
      </c:tx>
      <c:layout/>
      <c:overlay val="0"/>
    </c:title>
    <c:autoTitleDeleted val="0"/>
    <c:plotArea>
      <c:layout/>
      <c:lineChart>
        <c:grouping val="standard"/>
        <c:varyColors val="0"/>
        <c:ser>
          <c:idx val="0"/>
          <c:order val="0"/>
          <c:tx>
            <c:strRef>
              <c:f>Sheet1!$A$9</c:f>
              <c:strCache>
                <c:ptCount val="1"/>
                <c:pt idx="0">
                  <c:v>West London Children's Healthcare</c:v>
                </c:pt>
              </c:strCache>
            </c:strRef>
          </c:tx>
          <c:marker>
            <c:symbol val="none"/>
          </c:marker>
          <c:dLbls>
            <c:dLbl>
              <c:idx val="20"/>
              <c:layout>
                <c:manualLayout>
                  <c:x val="-2.5850016474296796E-2"/>
                  <c:y val="4.05455062649192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AF-45DC-A587-745A1D7345F0}"/>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Sheet1!$M$3:$X$3</c:f>
              <c:strCache>
                <c:ptCount val="12"/>
                <c:pt idx="0">
                  <c:v>A</c:v>
                </c:pt>
                <c:pt idx="1">
                  <c:v>M</c:v>
                </c:pt>
                <c:pt idx="2">
                  <c:v>J</c:v>
                </c:pt>
                <c:pt idx="3">
                  <c:v>J</c:v>
                </c:pt>
                <c:pt idx="4">
                  <c:v>A</c:v>
                </c:pt>
                <c:pt idx="5">
                  <c:v>S</c:v>
                </c:pt>
                <c:pt idx="6">
                  <c:v>O</c:v>
                </c:pt>
                <c:pt idx="7">
                  <c:v>N</c:v>
                </c:pt>
                <c:pt idx="8">
                  <c:v>D</c:v>
                </c:pt>
                <c:pt idx="9">
                  <c:v>J</c:v>
                </c:pt>
                <c:pt idx="10">
                  <c:v>F</c:v>
                </c:pt>
                <c:pt idx="11">
                  <c:v>M</c:v>
                </c:pt>
              </c:strCache>
            </c:strRef>
          </c:cat>
          <c:val>
            <c:numRef>
              <c:f>Sheet1!$M$9:$X$9</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1-7CAF-45DC-A587-745A1D7345F0}"/>
            </c:ext>
          </c:extLst>
        </c:ser>
        <c:dLbls>
          <c:showLegendKey val="0"/>
          <c:showVal val="0"/>
          <c:showCatName val="0"/>
          <c:showSerName val="0"/>
          <c:showPercent val="0"/>
          <c:showBubbleSize val="0"/>
        </c:dLbls>
        <c:smooth val="0"/>
        <c:axId val="131689088"/>
        <c:axId val="131690880"/>
      </c:lineChart>
      <c:catAx>
        <c:axId val="131689088"/>
        <c:scaling>
          <c:orientation val="minMax"/>
        </c:scaling>
        <c:delete val="0"/>
        <c:axPos val="b"/>
        <c:numFmt formatCode="General" sourceLinked="0"/>
        <c:majorTickMark val="out"/>
        <c:minorTickMark val="none"/>
        <c:tickLblPos val="nextTo"/>
        <c:crossAx val="131690880"/>
        <c:crosses val="autoZero"/>
        <c:auto val="1"/>
        <c:lblAlgn val="ctr"/>
        <c:lblOffset val="100"/>
        <c:noMultiLvlLbl val="0"/>
      </c:catAx>
      <c:valAx>
        <c:axId val="131690880"/>
        <c:scaling>
          <c:orientation val="minMax"/>
          <c:max val="1"/>
        </c:scaling>
        <c:delete val="0"/>
        <c:axPos val="l"/>
        <c:majorGridlines/>
        <c:numFmt formatCode="0%" sourceLinked="1"/>
        <c:majorTickMark val="out"/>
        <c:minorTickMark val="none"/>
        <c:tickLblPos val="nextTo"/>
        <c:crossAx val="131689088"/>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Arial" panose="020B0604020202020204" pitchFamily="34" charset="0"/>
                <a:cs typeface="Arial" panose="020B0604020202020204" pitchFamily="34" charset="0"/>
              </a:defRPr>
            </a:pPr>
            <a:r>
              <a:rPr lang="en-GB"/>
              <a:t>Percentage of complaints de-escalated</a:t>
            </a:r>
            <a:r>
              <a:rPr lang="en-GB" baseline="0"/>
              <a:t> by month</a:t>
            </a:r>
            <a:endParaRPr lang="en-GB"/>
          </a:p>
        </c:rich>
      </c:tx>
      <c:layout/>
      <c:overlay val="0"/>
    </c:title>
    <c:autoTitleDeleted val="0"/>
    <c:plotArea>
      <c:layout/>
      <c:lineChart>
        <c:grouping val="standard"/>
        <c:varyColors val="0"/>
        <c:ser>
          <c:idx val="0"/>
          <c:order val="0"/>
          <c:tx>
            <c:strRef>
              <c:f>'chart template'!$B$1</c:f>
              <c:strCache>
                <c:ptCount val="1"/>
                <c:pt idx="0">
                  <c:v>Values</c:v>
                </c:pt>
              </c:strCache>
            </c:strRef>
          </c:tx>
          <c:spPr>
            <a:ln w="15875">
              <a:solidFill>
                <a:schemeClr val="tx1"/>
              </a:solidFill>
            </a:ln>
          </c:spPr>
          <c:marker>
            <c:symbol val="diamond"/>
            <c:size val="3"/>
            <c:spPr>
              <a:solidFill>
                <a:schemeClr val="tx1"/>
              </a:solidFill>
              <a:ln>
                <a:noFill/>
              </a:ln>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'chart template'!$A$24:$A$47</c:f>
              <c:numCache>
                <c:formatCode>mmm\-yy</c:formatCode>
                <c:ptCount val="24"/>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pt idx="12">
                  <c:v>45017</c:v>
                </c:pt>
                <c:pt idx="13">
                  <c:v>45047</c:v>
                </c:pt>
                <c:pt idx="14">
                  <c:v>45078</c:v>
                </c:pt>
                <c:pt idx="15">
                  <c:v>45108</c:v>
                </c:pt>
                <c:pt idx="16">
                  <c:v>45139</c:v>
                </c:pt>
                <c:pt idx="17">
                  <c:v>45170</c:v>
                </c:pt>
                <c:pt idx="18">
                  <c:v>45200</c:v>
                </c:pt>
                <c:pt idx="19">
                  <c:v>45231</c:v>
                </c:pt>
                <c:pt idx="20">
                  <c:v>45261</c:v>
                </c:pt>
                <c:pt idx="21">
                  <c:v>45292</c:v>
                </c:pt>
                <c:pt idx="22">
                  <c:v>45323</c:v>
                </c:pt>
                <c:pt idx="23">
                  <c:v>45352</c:v>
                </c:pt>
              </c:numCache>
            </c:numRef>
          </c:cat>
          <c:val>
            <c:numRef>
              <c:f>'chart template'!$B$24:$B$47</c:f>
              <c:numCache>
                <c:formatCode>General</c:formatCode>
                <c:ptCount val="24"/>
                <c:pt idx="0">
                  <c:v>53</c:v>
                </c:pt>
                <c:pt idx="1">
                  <c:v>29</c:v>
                </c:pt>
                <c:pt idx="2">
                  <c:v>34</c:v>
                </c:pt>
                <c:pt idx="3">
                  <c:v>25</c:v>
                </c:pt>
                <c:pt idx="4">
                  <c:v>35</c:v>
                </c:pt>
                <c:pt idx="5">
                  <c:v>49</c:v>
                </c:pt>
                <c:pt idx="6">
                  <c:v>19</c:v>
                </c:pt>
                <c:pt idx="7">
                  <c:v>9</c:v>
                </c:pt>
                <c:pt idx="8">
                  <c:v>40</c:v>
                </c:pt>
                <c:pt idx="9">
                  <c:v>18</c:v>
                </c:pt>
                <c:pt idx="10">
                  <c:v>15</c:v>
                </c:pt>
                <c:pt idx="11">
                  <c:v>14</c:v>
                </c:pt>
                <c:pt idx="12">
                  <c:v>16</c:v>
                </c:pt>
                <c:pt idx="13">
                  <c:v>4</c:v>
                </c:pt>
                <c:pt idx="14">
                  <c:v>13</c:v>
                </c:pt>
                <c:pt idx="15">
                  <c:v>4</c:v>
                </c:pt>
                <c:pt idx="16">
                  <c:v>27</c:v>
                </c:pt>
                <c:pt idx="17">
                  <c:v>35</c:v>
                </c:pt>
                <c:pt idx="18">
                  <c:v>33</c:v>
                </c:pt>
                <c:pt idx="19">
                  <c:v>39</c:v>
                </c:pt>
                <c:pt idx="20">
                  <c:v>55</c:v>
                </c:pt>
                <c:pt idx="21">
                  <c:v>59</c:v>
                </c:pt>
                <c:pt idx="22">
                  <c:v>24</c:v>
                </c:pt>
                <c:pt idx="23">
                  <c:v>54</c:v>
                </c:pt>
              </c:numCache>
            </c:numRef>
          </c:val>
          <c:smooth val="0"/>
          <c:extLst>
            <c:ext xmlns:c16="http://schemas.microsoft.com/office/drawing/2014/chart" uri="{C3380CC4-5D6E-409C-BE32-E72D297353CC}">
              <c16:uniqueId val="{00000000-8E00-47D9-AB81-38533D16321A}"/>
            </c:ext>
          </c:extLst>
        </c:ser>
        <c:ser>
          <c:idx val="1"/>
          <c:order val="1"/>
          <c:tx>
            <c:strRef>
              <c:f>'chart template'!$C$1</c:f>
              <c:strCache>
                <c:ptCount val="1"/>
                <c:pt idx="0">
                  <c:v>Average</c:v>
                </c:pt>
              </c:strCache>
            </c:strRef>
          </c:tx>
          <c:spPr>
            <a:ln w="25400">
              <a:solidFill>
                <a:srgbClr val="FF0000"/>
              </a:solidFill>
            </a:ln>
          </c:spPr>
          <c:marker>
            <c:symbol val="none"/>
          </c:marker>
          <c:cat>
            <c:numRef>
              <c:f>'chart template'!$A$24:$A$47</c:f>
              <c:numCache>
                <c:formatCode>mmm\-yy</c:formatCode>
                <c:ptCount val="24"/>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pt idx="12">
                  <c:v>45017</c:v>
                </c:pt>
                <c:pt idx="13">
                  <c:v>45047</c:v>
                </c:pt>
                <c:pt idx="14">
                  <c:v>45078</c:v>
                </c:pt>
                <c:pt idx="15">
                  <c:v>45108</c:v>
                </c:pt>
                <c:pt idx="16">
                  <c:v>45139</c:v>
                </c:pt>
                <c:pt idx="17">
                  <c:v>45170</c:v>
                </c:pt>
                <c:pt idx="18">
                  <c:v>45200</c:v>
                </c:pt>
                <c:pt idx="19">
                  <c:v>45231</c:v>
                </c:pt>
                <c:pt idx="20">
                  <c:v>45261</c:v>
                </c:pt>
                <c:pt idx="21">
                  <c:v>45292</c:v>
                </c:pt>
                <c:pt idx="22">
                  <c:v>45323</c:v>
                </c:pt>
                <c:pt idx="23">
                  <c:v>45352</c:v>
                </c:pt>
              </c:numCache>
            </c:numRef>
          </c:cat>
          <c:val>
            <c:numRef>
              <c:f>'chart template'!$C$24:$C$47</c:f>
              <c:numCache>
                <c:formatCode>General</c:formatCode>
                <c:ptCount val="24"/>
                <c:pt idx="0">
                  <c:v>34.456521739130437</c:v>
                </c:pt>
                <c:pt idx="1">
                  <c:v>34.456521739130437</c:v>
                </c:pt>
                <c:pt idx="2">
                  <c:v>34.456521739130437</c:v>
                </c:pt>
                <c:pt idx="3">
                  <c:v>34.456521739130437</c:v>
                </c:pt>
                <c:pt idx="4">
                  <c:v>34.456521739130437</c:v>
                </c:pt>
                <c:pt idx="5">
                  <c:v>34.456521739130437</c:v>
                </c:pt>
                <c:pt idx="6">
                  <c:v>34.456521739130437</c:v>
                </c:pt>
                <c:pt idx="7">
                  <c:v>34.456521739130437</c:v>
                </c:pt>
                <c:pt idx="8">
                  <c:v>34.456521739130437</c:v>
                </c:pt>
                <c:pt idx="9">
                  <c:v>34.456521739130437</c:v>
                </c:pt>
                <c:pt idx="10">
                  <c:v>34.456521739130437</c:v>
                </c:pt>
                <c:pt idx="11">
                  <c:v>34.456521739130437</c:v>
                </c:pt>
                <c:pt idx="12">
                  <c:v>34.456521739130437</c:v>
                </c:pt>
                <c:pt idx="13">
                  <c:v>34.456521739130437</c:v>
                </c:pt>
                <c:pt idx="14">
                  <c:v>34.456521739130437</c:v>
                </c:pt>
                <c:pt idx="15">
                  <c:v>34.456521739130437</c:v>
                </c:pt>
                <c:pt idx="16">
                  <c:v>34.456521739130437</c:v>
                </c:pt>
                <c:pt idx="17">
                  <c:v>34.456521739130437</c:v>
                </c:pt>
                <c:pt idx="18">
                  <c:v>34.456521739130437</c:v>
                </c:pt>
                <c:pt idx="19">
                  <c:v>34.456521739130437</c:v>
                </c:pt>
                <c:pt idx="20">
                  <c:v>34.456521739130437</c:v>
                </c:pt>
                <c:pt idx="21">
                  <c:v>34.456521739130437</c:v>
                </c:pt>
                <c:pt idx="22">
                  <c:v>34.456521739130437</c:v>
                </c:pt>
                <c:pt idx="23">
                  <c:v>34.456521739130437</c:v>
                </c:pt>
              </c:numCache>
            </c:numRef>
          </c:val>
          <c:smooth val="0"/>
          <c:extLst>
            <c:ext xmlns:c16="http://schemas.microsoft.com/office/drawing/2014/chart" uri="{C3380CC4-5D6E-409C-BE32-E72D297353CC}">
              <c16:uniqueId val="{00000001-8E00-47D9-AB81-38533D16321A}"/>
            </c:ext>
          </c:extLst>
        </c:ser>
        <c:ser>
          <c:idx val="2"/>
          <c:order val="2"/>
          <c:tx>
            <c:strRef>
              <c:f>'chart template'!$D$1</c:f>
              <c:strCache>
                <c:ptCount val="1"/>
                <c:pt idx="0">
                  <c:v>Upper limit</c:v>
                </c:pt>
              </c:strCache>
            </c:strRef>
          </c:tx>
          <c:spPr>
            <a:ln w="25400">
              <a:solidFill>
                <a:srgbClr val="0070C0"/>
              </a:solidFill>
            </a:ln>
          </c:spPr>
          <c:marker>
            <c:symbol val="none"/>
          </c:marker>
          <c:cat>
            <c:numRef>
              <c:f>'chart template'!$A$24:$A$47</c:f>
              <c:numCache>
                <c:formatCode>mmm\-yy</c:formatCode>
                <c:ptCount val="24"/>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pt idx="12">
                  <c:v>45017</c:v>
                </c:pt>
                <c:pt idx="13">
                  <c:v>45047</c:v>
                </c:pt>
                <c:pt idx="14">
                  <c:v>45078</c:v>
                </c:pt>
                <c:pt idx="15">
                  <c:v>45108</c:v>
                </c:pt>
                <c:pt idx="16">
                  <c:v>45139</c:v>
                </c:pt>
                <c:pt idx="17">
                  <c:v>45170</c:v>
                </c:pt>
                <c:pt idx="18">
                  <c:v>45200</c:v>
                </c:pt>
                <c:pt idx="19">
                  <c:v>45231</c:v>
                </c:pt>
                <c:pt idx="20">
                  <c:v>45261</c:v>
                </c:pt>
                <c:pt idx="21">
                  <c:v>45292</c:v>
                </c:pt>
                <c:pt idx="22">
                  <c:v>45323</c:v>
                </c:pt>
                <c:pt idx="23">
                  <c:v>45352</c:v>
                </c:pt>
              </c:numCache>
            </c:numRef>
          </c:cat>
          <c:val>
            <c:numRef>
              <c:f>'chart template'!$D$24:$D$47</c:f>
              <c:numCache>
                <c:formatCode>General</c:formatCode>
                <c:ptCount val="24"/>
                <c:pt idx="0">
                  <c:v>71.046299516908221</c:v>
                </c:pt>
                <c:pt idx="1">
                  <c:v>71.046299516908221</c:v>
                </c:pt>
                <c:pt idx="2">
                  <c:v>71.046299516908221</c:v>
                </c:pt>
                <c:pt idx="3">
                  <c:v>71.046299516908221</c:v>
                </c:pt>
                <c:pt idx="4">
                  <c:v>71.046299516908221</c:v>
                </c:pt>
                <c:pt idx="5">
                  <c:v>71.046299516908221</c:v>
                </c:pt>
                <c:pt idx="6">
                  <c:v>71.046299516908221</c:v>
                </c:pt>
                <c:pt idx="7">
                  <c:v>71.046299516908221</c:v>
                </c:pt>
                <c:pt idx="8">
                  <c:v>71.046299516908221</c:v>
                </c:pt>
                <c:pt idx="9">
                  <c:v>71.046299516908221</c:v>
                </c:pt>
                <c:pt idx="10">
                  <c:v>71.046299516908221</c:v>
                </c:pt>
                <c:pt idx="11">
                  <c:v>71.046299516908221</c:v>
                </c:pt>
                <c:pt idx="12">
                  <c:v>71.046299516908221</c:v>
                </c:pt>
                <c:pt idx="13">
                  <c:v>71.046299516908221</c:v>
                </c:pt>
                <c:pt idx="14">
                  <c:v>71.046299516908221</c:v>
                </c:pt>
                <c:pt idx="15">
                  <c:v>71.046299516908221</c:v>
                </c:pt>
                <c:pt idx="16">
                  <c:v>71.046299516908221</c:v>
                </c:pt>
                <c:pt idx="17">
                  <c:v>71.046299516908221</c:v>
                </c:pt>
                <c:pt idx="18">
                  <c:v>71.046299516908221</c:v>
                </c:pt>
                <c:pt idx="19">
                  <c:v>71.046299516908221</c:v>
                </c:pt>
                <c:pt idx="20">
                  <c:v>71.046299516908221</c:v>
                </c:pt>
                <c:pt idx="21">
                  <c:v>71.046299516908221</c:v>
                </c:pt>
                <c:pt idx="22">
                  <c:v>71.046299516908221</c:v>
                </c:pt>
                <c:pt idx="23">
                  <c:v>71.046299516908221</c:v>
                </c:pt>
              </c:numCache>
            </c:numRef>
          </c:val>
          <c:smooth val="0"/>
          <c:extLst>
            <c:ext xmlns:c16="http://schemas.microsoft.com/office/drawing/2014/chart" uri="{C3380CC4-5D6E-409C-BE32-E72D297353CC}">
              <c16:uniqueId val="{00000002-8E00-47D9-AB81-38533D16321A}"/>
            </c:ext>
          </c:extLst>
        </c:ser>
        <c:ser>
          <c:idx val="3"/>
          <c:order val="3"/>
          <c:tx>
            <c:strRef>
              <c:f>'chart template'!$E$1</c:f>
              <c:strCache>
                <c:ptCount val="1"/>
                <c:pt idx="0">
                  <c:v>Lower limit</c:v>
                </c:pt>
              </c:strCache>
            </c:strRef>
          </c:tx>
          <c:spPr>
            <a:ln w="25400">
              <a:solidFill>
                <a:srgbClr val="00B050"/>
              </a:solidFill>
            </a:ln>
          </c:spPr>
          <c:marker>
            <c:symbol val="none"/>
          </c:marker>
          <c:cat>
            <c:numRef>
              <c:f>'chart template'!$A$24:$A$47</c:f>
              <c:numCache>
                <c:formatCode>mmm\-yy</c:formatCode>
                <c:ptCount val="24"/>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pt idx="12">
                  <c:v>45017</c:v>
                </c:pt>
                <c:pt idx="13">
                  <c:v>45047</c:v>
                </c:pt>
                <c:pt idx="14">
                  <c:v>45078</c:v>
                </c:pt>
                <c:pt idx="15">
                  <c:v>45108</c:v>
                </c:pt>
                <c:pt idx="16">
                  <c:v>45139</c:v>
                </c:pt>
                <c:pt idx="17">
                  <c:v>45170</c:v>
                </c:pt>
                <c:pt idx="18">
                  <c:v>45200</c:v>
                </c:pt>
                <c:pt idx="19">
                  <c:v>45231</c:v>
                </c:pt>
                <c:pt idx="20">
                  <c:v>45261</c:v>
                </c:pt>
                <c:pt idx="21">
                  <c:v>45292</c:v>
                </c:pt>
                <c:pt idx="22">
                  <c:v>45323</c:v>
                </c:pt>
                <c:pt idx="23">
                  <c:v>45352</c:v>
                </c:pt>
              </c:numCache>
            </c:numRef>
          </c:cat>
          <c:val>
            <c:numRef>
              <c:f>'chart template'!$E$24:$E$47</c:f>
              <c:numCache>
                <c:formatCode>General</c:formatCode>
                <c:ptCount val="24"/>
                <c:pt idx="0">
                  <c:v>4</c:v>
                </c:pt>
                <c:pt idx="1">
                  <c:v>4</c:v>
                </c:pt>
                <c:pt idx="2">
                  <c:v>4</c:v>
                </c:pt>
                <c:pt idx="3">
                  <c:v>4</c:v>
                </c:pt>
                <c:pt idx="4">
                  <c:v>4</c:v>
                </c:pt>
                <c:pt idx="5">
                  <c:v>4</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pt idx="21">
                  <c:v>4</c:v>
                </c:pt>
                <c:pt idx="22">
                  <c:v>4</c:v>
                </c:pt>
                <c:pt idx="23">
                  <c:v>4</c:v>
                </c:pt>
              </c:numCache>
            </c:numRef>
          </c:val>
          <c:smooth val="0"/>
          <c:extLst>
            <c:ext xmlns:c16="http://schemas.microsoft.com/office/drawing/2014/chart" uri="{C3380CC4-5D6E-409C-BE32-E72D297353CC}">
              <c16:uniqueId val="{00000003-8E00-47D9-AB81-38533D16321A}"/>
            </c:ext>
          </c:extLst>
        </c:ser>
        <c:dLbls>
          <c:showLegendKey val="0"/>
          <c:showVal val="0"/>
          <c:showCatName val="0"/>
          <c:showSerName val="0"/>
          <c:showPercent val="0"/>
          <c:showBubbleSize val="0"/>
        </c:dLbls>
        <c:marker val="1"/>
        <c:smooth val="0"/>
        <c:axId val="151475328"/>
        <c:axId val="151476864"/>
      </c:lineChart>
      <c:catAx>
        <c:axId val="151475328"/>
        <c:scaling>
          <c:orientation val="minMax"/>
        </c:scaling>
        <c:delete val="0"/>
        <c:axPos val="b"/>
        <c:numFmt formatCode="dd/mm/yy" sourceLinked="0"/>
        <c:majorTickMark val="out"/>
        <c:minorTickMark val="none"/>
        <c:tickLblPos val="nextTo"/>
        <c:spPr>
          <a:ln>
            <a:noFill/>
          </a:ln>
        </c:spPr>
        <c:txPr>
          <a:bodyPr rot="-5400000" vert="horz"/>
          <a:lstStyle/>
          <a:p>
            <a:pPr>
              <a:defRPr sz="900">
                <a:latin typeface="Arial" panose="020B0604020202020204" pitchFamily="34" charset="0"/>
                <a:cs typeface="Arial" panose="020B0604020202020204" pitchFamily="34" charset="0"/>
              </a:defRPr>
            </a:pPr>
            <a:endParaRPr lang="en-US"/>
          </a:p>
        </c:txPr>
        <c:crossAx val="151476864"/>
        <c:crosses val="autoZero"/>
        <c:auto val="0"/>
        <c:lblAlgn val="ctr"/>
        <c:lblOffset val="100"/>
        <c:tickLblSkip val="1"/>
        <c:noMultiLvlLbl val="1"/>
      </c:catAx>
      <c:valAx>
        <c:axId val="151476864"/>
        <c:scaling>
          <c:orientation val="minMax"/>
          <c:min val="0"/>
        </c:scaling>
        <c:delete val="0"/>
        <c:axPos val="l"/>
        <c:majorGridlines>
          <c:spPr>
            <a:ln w="6350">
              <a:solidFill>
                <a:schemeClr val="bg1">
                  <a:lumMod val="75000"/>
                </a:schemeClr>
              </a:solidFill>
            </a:ln>
          </c:spPr>
        </c:majorGridlines>
        <c:numFmt formatCode="General" sourceLinked="1"/>
        <c:majorTickMark val="out"/>
        <c:minorTickMark val="none"/>
        <c:tickLblPos val="nextTo"/>
        <c:spPr>
          <a:ln>
            <a:noFill/>
          </a:ln>
        </c:spPr>
        <c:txPr>
          <a:bodyPr/>
          <a:lstStyle/>
          <a:p>
            <a:pPr>
              <a:defRPr sz="800">
                <a:latin typeface="Arial" panose="020B0604020202020204" pitchFamily="34" charset="0"/>
                <a:cs typeface="Arial" panose="020B0604020202020204" pitchFamily="34" charset="0"/>
              </a:defRPr>
            </a:pPr>
            <a:endParaRPr lang="en-US"/>
          </a:p>
        </c:txPr>
        <c:crossAx val="151475328"/>
        <c:crosses val="autoZero"/>
        <c:crossBetween val="between"/>
        <c:majorUnit val="10"/>
      </c:valAx>
    </c:plotArea>
    <c:legend>
      <c:legendPos val="b"/>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w="6350">
      <a:solidFill>
        <a:sysClr val="window" lastClr="FFFFFF">
          <a:lumMod val="75000"/>
        </a:sysClr>
      </a:solid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Arial" panose="020B0604020202020204" pitchFamily="34" charset="0"/>
                <a:cs typeface="Arial" panose="020B0604020202020204" pitchFamily="34" charset="0"/>
              </a:defRPr>
            </a:pPr>
            <a:r>
              <a:rPr lang="en-GB"/>
              <a:t>Percentage of responses signed first time by CEO</a:t>
            </a:r>
          </a:p>
        </c:rich>
      </c:tx>
      <c:layout/>
      <c:overlay val="0"/>
    </c:title>
    <c:autoTitleDeleted val="0"/>
    <c:plotArea>
      <c:layout/>
      <c:lineChart>
        <c:grouping val="standard"/>
        <c:varyColors val="0"/>
        <c:ser>
          <c:idx val="0"/>
          <c:order val="0"/>
          <c:tx>
            <c:strRef>
              <c:f>'chart template'!$B$1</c:f>
              <c:strCache>
                <c:ptCount val="1"/>
                <c:pt idx="0">
                  <c:v>Values</c:v>
                </c:pt>
              </c:strCache>
            </c:strRef>
          </c:tx>
          <c:spPr>
            <a:ln w="15875">
              <a:solidFill>
                <a:schemeClr val="tx1"/>
              </a:solidFill>
            </a:ln>
          </c:spPr>
          <c:marker>
            <c:symbol val="diamond"/>
            <c:size val="3"/>
            <c:spPr>
              <a:solidFill>
                <a:schemeClr val="tx1"/>
              </a:solidFill>
              <a:ln>
                <a:noFill/>
              </a:ln>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'chart template'!$A$25:$A$36</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'chart template'!$B$25:$B$36</c:f>
              <c:numCache>
                <c:formatCode>General</c:formatCode>
                <c:ptCount val="12"/>
                <c:pt idx="0">
                  <c:v>49</c:v>
                </c:pt>
                <c:pt idx="1">
                  <c:v>56</c:v>
                </c:pt>
                <c:pt idx="2">
                  <c:v>52</c:v>
                </c:pt>
                <c:pt idx="3">
                  <c:v>59</c:v>
                </c:pt>
                <c:pt idx="4">
                  <c:v>67</c:v>
                </c:pt>
                <c:pt idx="5">
                  <c:v>68</c:v>
                </c:pt>
                <c:pt idx="6">
                  <c:v>66</c:v>
                </c:pt>
                <c:pt idx="7">
                  <c:v>76</c:v>
                </c:pt>
                <c:pt idx="8">
                  <c:v>63</c:v>
                </c:pt>
                <c:pt idx="9">
                  <c:v>79</c:v>
                </c:pt>
                <c:pt idx="10">
                  <c:v>73</c:v>
                </c:pt>
                <c:pt idx="11">
                  <c:v>57</c:v>
                </c:pt>
              </c:numCache>
            </c:numRef>
          </c:val>
          <c:smooth val="0"/>
          <c:extLst>
            <c:ext xmlns:c16="http://schemas.microsoft.com/office/drawing/2014/chart" uri="{C3380CC4-5D6E-409C-BE32-E72D297353CC}">
              <c16:uniqueId val="{00000000-22CB-4303-A8F1-180F4258A027}"/>
            </c:ext>
          </c:extLst>
        </c:ser>
        <c:ser>
          <c:idx val="1"/>
          <c:order val="1"/>
          <c:tx>
            <c:strRef>
              <c:f>'chart template'!$C$1</c:f>
              <c:strCache>
                <c:ptCount val="1"/>
                <c:pt idx="0">
                  <c:v>Average</c:v>
                </c:pt>
              </c:strCache>
            </c:strRef>
          </c:tx>
          <c:spPr>
            <a:ln w="25400">
              <a:solidFill>
                <a:srgbClr val="FF0000"/>
              </a:solidFill>
            </a:ln>
          </c:spPr>
          <c:marker>
            <c:symbol val="none"/>
          </c:marker>
          <c:cat>
            <c:numRef>
              <c:f>'chart template'!$A$25:$A$36</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'chart template'!$C$25:$C$36</c:f>
              <c:numCache>
                <c:formatCode>General</c:formatCode>
                <c:ptCount val="12"/>
                <c:pt idx="0">
                  <c:v>64.828571428571422</c:v>
                </c:pt>
                <c:pt idx="1">
                  <c:v>64.828571428571422</c:v>
                </c:pt>
                <c:pt idx="2">
                  <c:v>64.828571428571422</c:v>
                </c:pt>
                <c:pt idx="3">
                  <c:v>64.828571428571422</c:v>
                </c:pt>
                <c:pt idx="4">
                  <c:v>64.828571428571422</c:v>
                </c:pt>
                <c:pt idx="5">
                  <c:v>64.828571428571422</c:v>
                </c:pt>
                <c:pt idx="6">
                  <c:v>64.828571428571422</c:v>
                </c:pt>
                <c:pt idx="7">
                  <c:v>64.828571428571422</c:v>
                </c:pt>
                <c:pt idx="8">
                  <c:v>64.828571428571422</c:v>
                </c:pt>
                <c:pt idx="9">
                  <c:v>64.828571428571422</c:v>
                </c:pt>
                <c:pt idx="10">
                  <c:v>64.828571428571422</c:v>
                </c:pt>
                <c:pt idx="11">
                  <c:v>64.828571428571422</c:v>
                </c:pt>
              </c:numCache>
            </c:numRef>
          </c:val>
          <c:smooth val="0"/>
          <c:extLst>
            <c:ext xmlns:c16="http://schemas.microsoft.com/office/drawing/2014/chart" uri="{C3380CC4-5D6E-409C-BE32-E72D297353CC}">
              <c16:uniqueId val="{00000001-22CB-4303-A8F1-180F4258A027}"/>
            </c:ext>
          </c:extLst>
        </c:ser>
        <c:ser>
          <c:idx val="2"/>
          <c:order val="2"/>
          <c:tx>
            <c:strRef>
              <c:f>'chart template'!$D$1</c:f>
              <c:strCache>
                <c:ptCount val="1"/>
                <c:pt idx="0">
                  <c:v>Upper limit</c:v>
                </c:pt>
              </c:strCache>
            </c:strRef>
          </c:tx>
          <c:spPr>
            <a:ln w="25400">
              <a:solidFill>
                <a:srgbClr val="0070C0"/>
              </a:solidFill>
            </a:ln>
          </c:spPr>
          <c:marker>
            <c:symbol val="none"/>
          </c:marker>
          <c:cat>
            <c:numRef>
              <c:f>'chart template'!$A$25:$A$36</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'chart template'!$D$25:$D$36</c:f>
              <c:numCache>
                <c:formatCode>General</c:formatCode>
                <c:ptCount val="12"/>
                <c:pt idx="0">
                  <c:v>91.428571428571416</c:v>
                </c:pt>
                <c:pt idx="1">
                  <c:v>91.428571428571416</c:v>
                </c:pt>
                <c:pt idx="2">
                  <c:v>91.428571428571416</c:v>
                </c:pt>
                <c:pt idx="3">
                  <c:v>91.428571428571416</c:v>
                </c:pt>
                <c:pt idx="4">
                  <c:v>91.428571428571416</c:v>
                </c:pt>
                <c:pt idx="5">
                  <c:v>91.428571428571416</c:v>
                </c:pt>
                <c:pt idx="6">
                  <c:v>91.428571428571416</c:v>
                </c:pt>
                <c:pt idx="7">
                  <c:v>91.428571428571416</c:v>
                </c:pt>
                <c:pt idx="8">
                  <c:v>91.428571428571416</c:v>
                </c:pt>
                <c:pt idx="9">
                  <c:v>91.428571428571416</c:v>
                </c:pt>
                <c:pt idx="10">
                  <c:v>91.428571428571416</c:v>
                </c:pt>
                <c:pt idx="11">
                  <c:v>91.428571428571416</c:v>
                </c:pt>
              </c:numCache>
            </c:numRef>
          </c:val>
          <c:smooth val="0"/>
          <c:extLst>
            <c:ext xmlns:c16="http://schemas.microsoft.com/office/drawing/2014/chart" uri="{C3380CC4-5D6E-409C-BE32-E72D297353CC}">
              <c16:uniqueId val="{00000002-22CB-4303-A8F1-180F4258A027}"/>
            </c:ext>
          </c:extLst>
        </c:ser>
        <c:ser>
          <c:idx val="3"/>
          <c:order val="3"/>
          <c:tx>
            <c:strRef>
              <c:f>'chart template'!$E$1</c:f>
              <c:strCache>
                <c:ptCount val="1"/>
                <c:pt idx="0">
                  <c:v>Lower limit</c:v>
                </c:pt>
              </c:strCache>
            </c:strRef>
          </c:tx>
          <c:spPr>
            <a:ln w="25400">
              <a:solidFill>
                <a:srgbClr val="00B050"/>
              </a:solidFill>
            </a:ln>
          </c:spPr>
          <c:marker>
            <c:symbol val="none"/>
          </c:marker>
          <c:cat>
            <c:numRef>
              <c:f>'chart template'!$A$25:$A$36</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'chart template'!$E$25:$E$36</c:f>
              <c:numCache>
                <c:formatCode>General</c:formatCode>
                <c:ptCount val="12"/>
                <c:pt idx="0">
                  <c:v>38.228571428571421</c:v>
                </c:pt>
                <c:pt idx="1">
                  <c:v>38.228571428571421</c:v>
                </c:pt>
                <c:pt idx="2">
                  <c:v>38.228571428571421</c:v>
                </c:pt>
                <c:pt idx="3">
                  <c:v>38.228571428571421</c:v>
                </c:pt>
                <c:pt idx="4">
                  <c:v>38.228571428571421</c:v>
                </c:pt>
                <c:pt idx="5">
                  <c:v>38.228571428571421</c:v>
                </c:pt>
                <c:pt idx="6">
                  <c:v>38.228571428571421</c:v>
                </c:pt>
                <c:pt idx="7">
                  <c:v>38.228571428571421</c:v>
                </c:pt>
                <c:pt idx="8">
                  <c:v>38.228571428571421</c:v>
                </c:pt>
                <c:pt idx="9">
                  <c:v>38.228571428571421</c:v>
                </c:pt>
                <c:pt idx="10">
                  <c:v>38.228571428571421</c:v>
                </c:pt>
                <c:pt idx="11">
                  <c:v>38.228571428571421</c:v>
                </c:pt>
              </c:numCache>
            </c:numRef>
          </c:val>
          <c:smooth val="0"/>
          <c:extLst>
            <c:ext xmlns:c16="http://schemas.microsoft.com/office/drawing/2014/chart" uri="{C3380CC4-5D6E-409C-BE32-E72D297353CC}">
              <c16:uniqueId val="{00000003-22CB-4303-A8F1-180F4258A027}"/>
            </c:ext>
          </c:extLst>
        </c:ser>
        <c:dLbls>
          <c:showLegendKey val="0"/>
          <c:showVal val="0"/>
          <c:showCatName val="0"/>
          <c:showSerName val="0"/>
          <c:showPercent val="0"/>
          <c:showBubbleSize val="0"/>
        </c:dLbls>
        <c:marker val="1"/>
        <c:smooth val="0"/>
        <c:axId val="168248832"/>
        <c:axId val="98810624"/>
      </c:lineChart>
      <c:catAx>
        <c:axId val="168248832"/>
        <c:scaling>
          <c:orientation val="minMax"/>
        </c:scaling>
        <c:delete val="0"/>
        <c:axPos val="b"/>
        <c:numFmt formatCode="dd/mm/yy" sourceLinked="0"/>
        <c:majorTickMark val="out"/>
        <c:minorTickMark val="none"/>
        <c:tickLblPos val="nextTo"/>
        <c:spPr>
          <a:ln>
            <a:noFill/>
          </a:ln>
        </c:spPr>
        <c:txPr>
          <a:bodyPr rot="-5400000" vert="horz"/>
          <a:lstStyle/>
          <a:p>
            <a:pPr>
              <a:defRPr sz="900">
                <a:latin typeface="Arial" panose="020B0604020202020204" pitchFamily="34" charset="0"/>
                <a:cs typeface="Arial" panose="020B0604020202020204" pitchFamily="34" charset="0"/>
              </a:defRPr>
            </a:pPr>
            <a:endParaRPr lang="en-US"/>
          </a:p>
        </c:txPr>
        <c:crossAx val="98810624"/>
        <c:crosses val="autoZero"/>
        <c:auto val="0"/>
        <c:lblAlgn val="ctr"/>
        <c:lblOffset val="100"/>
        <c:tickLblSkip val="1"/>
        <c:noMultiLvlLbl val="1"/>
      </c:catAx>
      <c:valAx>
        <c:axId val="98810624"/>
        <c:scaling>
          <c:orientation val="minMax"/>
          <c:min val="0"/>
        </c:scaling>
        <c:delete val="0"/>
        <c:axPos val="l"/>
        <c:majorGridlines>
          <c:spPr>
            <a:ln w="6350">
              <a:solidFill>
                <a:schemeClr val="bg1">
                  <a:lumMod val="75000"/>
                </a:schemeClr>
              </a:solidFill>
            </a:ln>
          </c:spPr>
        </c:majorGridlines>
        <c:numFmt formatCode="General" sourceLinked="1"/>
        <c:majorTickMark val="out"/>
        <c:minorTickMark val="none"/>
        <c:tickLblPos val="nextTo"/>
        <c:spPr>
          <a:ln>
            <a:noFill/>
          </a:ln>
        </c:spPr>
        <c:txPr>
          <a:bodyPr/>
          <a:lstStyle/>
          <a:p>
            <a:pPr>
              <a:defRPr sz="800">
                <a:latin typeface="Arial" panose="020B0604020202020204" pitchFamily="34" charset="0"/>
                <a:cs typeface="Arial" panose="020B0604020202020204" pitchFamily="34" charset="0"/>
              </a:defRPr>
            </a:pPr>
            <a:endParaRPr lang="en-US"/>
          </a:p>
        </c:txPr>
        <c:crossAx val="168248832"/>
        <c:crosses val="autoZero"/>
        <c:crossBetween val="between"/>
        <c:majorUnit val="10"/>
      </c:valAx>
    </c:plotArea>
    <c:legend>
      <c:legendPos val="b"/>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w="6350">
      <a:solidFill>
        <a:sysClr val="window" lastClr="FFFFFF">
          <a:lumMod val="75000"/>
        </a:sysClr>
      </a:solid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[complaints received.xlsx]Sheet1!PivotTable1</c:name>
    <c:fmtId val="-1"/>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Outcomes from complaints received during April 2023-March</a:t>
            </a:r>
            <a:r>
              <a:rPr lang="en-GB" sz="1200" b="1" baseline="0"/>
              <a:t> 2024</a:t>
            </a:r>
            <a:endParaRPr lang="en-GB" sz="1200" b="1"/>
          </a:p>
        </c:rich>
      </c:tx>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3"/>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2"/>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Sheet1!$B$3:$B$4</c:f>
              <c:strCache>
                <c:ptCount val="1"/>
                <c:pt idx="0">
                  <c:v>Not Upheld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Sheet1!$A$5:$A$12</c:f>
              <c:strCache>
                <c:ptCount val="7"/>
                <c:pt idx="0">
                  <c:v>Planned Care</c:v>
                </c:pt>
                <c:pt idx="1">
                  <c:v>Specialist Care (Womens, Neonates, HIV, GUM and Dermatology)</c:v>
                </c:pt>
                <c:pt idx="2">
                  <c:v>Emergency and Integrated Care</c:v>
                </c:pt>
                <c:pt idx="3">
                  <c:v>Clinical Support Services</c:v>
                </c:pt>
                <c:pt idx="4">
                  <c:v>West London Childrens Healthcare</c:v>
                </c:pt>
                <c:pt idx="5">
                  <c:v>Corporate functions</c:v>
                </c:pt>
                <c:pt idx="6">
                  <c:v>Enterprise</c:v>
                </c:pt>
              </c:strCache>
            </c:strRef>
          </c:cat>
          <c:val>
            <c:numRef>
              <c:f>Sheet1!$B$5:$B$12</c:f>
              <c:numCache>
                <c:formatCode>General</c:formatCode>
                <c:ptCount val="7"/>
                <c:pt idx="0">
                  <c:v>40</c:v>
                </c:pt>
                <c:pt idx="1">
                  <c:v>25</c:v>
                </c:pt>
                <c:pt idx="2">
                  <c:v>53</c:v>
                </c:pt>
                <c:pt idx="3">
                  <c:v>4</c:v>
                </c:pt>
                <c:pt idx="4">
                  <c:v>12</c:v>
                </c:pt>
              </c:numCache>
            </c:numRef>
          </c:val>
          <c:extLst>
            <c:ext xmlns:c16="http://schemas.microsoft.com/office/drawing/2014/chart" uri="{C3380CC4-5D6E-409C-BE32-E72D297353CC}">
              <c16:uniqueId val="{00000000-6EBE-43B4-A4E0-0ACFB273DAF5}"/>
            </c:ext>
          </c:extLst>
        </c:ser>
        <c:ser>
          <c:idx val="1"/>
          <c:order val="1"/>
          <c:tx>
            <c:strRef>
              <c:f>Sheet1!$C$3:$C$4</c:f>
              <c:strCache>
                <c:ptCount val="1"/>
                <c:pt idx="0">
                  <c:v>Partially upheld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Sheet1!$A$5:$A$12</c:f>
              <c:strCache>
                <c:ptCount val="7"/>
                <c:pt idx="0">
                  <c:v>Planned Care</c:v>
                </c:pt>
                <c:pt idx="1">
                  <c:v>Specialist Care (Womens, Neonates, HIV, GUM and Dermatology)</c:v>
                </c:pt>
                <c:pt idx="2">
                  <c:v>Emergency and Integrated Care</c:v>
                </c:pt>
                <c:pt idx="3">
                  <c:v>Clinical Support Services</c:v>
                </c:pt>
                <c:pt idx="4">
                  <c:v>West London Childrens Healthcare</c:v>
                </c:pt>
                <c:pt idx="5">
                  <c:v>Corporate functions</c:v>
                </c:pt>
                <c:pt idx="6">
                  <c:v>Enterprise</c:v>
                </c:pt>
              </c:strCache>
            </c:strRef>
          </c:cat>
          <c:val>
            <c:numRef>
              <c:f>Sheet1!$C$5:$C$12</c:f>
              <c:numCache>
                <c:formatCode>General</c:formatCode>
                <c:ptCount val="7"/>
                <c:pt idx="0">
                  <c:v>48</c:v>
                </c:pt>
                <c:pt idx="1">
                  <c:v>61</c:v>
                </c:pt>
                <c:pt idx="2">
                  <c:v>37</c:v>
                </c:pt>
                <c:pt idx="3">
                  <c:v>8</c:v>
                </c:pt>
                <c:pt idx="4">
                  <c:v>8</c:v>
                </c:pt>
                <c:pt idx="5">
                  <c:v>6</c:v>
                </c:pt>
                <c:pt idx="6">
                  <c:v>1</c:v>
                </c:pt>
              </c:numCache>
            </c:numRef>
          </c:val>
          <c:extLst>
            <c:ext xmlns:c16="http://schemas.microsoft.com/office/drawing/2014/chart" uri="{C3380CC4-5D6E-409C-BE32-E72D297353CC}">
              <c16:uniqueId val="{00000001-6EBE-43B4-A4E0-0ACFB273DAF5}"/>
            </c:ext>
          </c:extLst>
        </c:ser>
        <c:ser>
          <c:idx val="2"/>
          <c:order val="2"/>
          <c:tx>
            <c:strRef>
              <c:f>Sheet1!$D$3:$D$4</c:f>
              <c:strCache>
                <c:ptCount val="1"/>
                <c:pt idx="0">
                  <c:v>Upheld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Sheet1!$A$5:$A$12</c:f>
              <c:strCache>
                <c:ptCount val="7"/>
                <c:pt idx="0">
                  <c:v>Planned Care</c:v>
                </c:pt>
                <c:pt idx="1">
                  <c:v>Specialist Care (Womens, Neonates, HIV, GUM and Dermatology)</c:v>
                </c:pt>
                <c:pt idx="2">
                  <c:v>Emergency and Integrated Care</c:v>
                </c:pt>
                <c:pt idx="3">
                  <c:v>Clinical Support Services</c:v>
                </c:pt>
                <c:pt idx="4">
                  <c:v>West London Childrens Healthcare</c:v>
                </c:pt>
                <c:pt idx="5">
                  <c:v>Corporate functions</c:v>
                </c:pt>
                <c:pt idx="6">
                  <c:v>Enterprise</c:v>
                </c:pt>
              </c:strCache>
            </c:strRef>
          </c:cat>
          <c:val>
            <c:numRef>
              <c:f>Sheet1!$D$5:$D$12</c:f>
              <c:numCache>
                <c:formatCode>General</c:formatCode>
                <c:ptCount val="7"/>
                <c:pt idx="0">
                  <c:v>38</c:v>
                </c:pt>
                <c:pt idx="1">
                  <c:v>19</c:v>
                </c:pt>
                <c:pt idx="2">
                  <c:v>13</c:v>
                </c:pt>
                <c:pt idx="3">
                  <c:v>13</c:v>
                </c:pt>
                <c:pt idx="4">
                  <c:v>1</c:v>
                </c:pt>
                <c:pt idx="5">
                  <c:v>4</c:v>
                </c:pt>
                <c:pt idx="6">
                  <c:v>8</c:v>
                </c:pt>
              </c:numCache>
            </c:numRef>
          </c:val>
          <c:extLst>
            <c:ext xmlns:c16="http://schemas.microsoft.com/office/drawing/2014/chart" uri="{C3380CC4-5D6E-409C-BE32-E72D297353CC}">
              <c16:uniqueId val="{00000002-6EBE-43B4-A4E0-0ACFB273DAF5}"/>
            </c:ext>
          </c:extLst>
        </c:ser>
        <c:dLbls>
          <c:showLegendKey val="0"/>
          <c:showVal val="0"/>
          <c:showCatName val="0"/>
          <c:showSerName val="0"/>
          <c:showPercent val="0"/>
          <c:showBubbleSize val="0"/>
        </c:dLbls>
        <c:gapWidth val="150"/>
        <c:overlap val="100"/>
        <c:axId val="263031904"/>
        <c:axId val="263035648"/>
      </c:barChart>
      <c:catAx>
        <c:axId val="26303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035648"/>
        <c:crosses val="autoZero"/>
        <c:auto val="1"/>
        <c:lblAlgn val="ctr"/>
        <c:lblOffset val="100"/>
        <c:noMultiLvlLbl val="0"/>
      </c:catAx>
      <c:valAx>
        <c:axId val="263035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03190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Arial" panose="020B0604020202020204" pitchFamily="34" charset="0"/>
                <a:cs typeface="Arial" panose="020B0604020202020204" pitchFamily="34" charset="0"/>
              </a:defRPr>
            </a:pPr>
            <a:r>
              <a:rPr lang="en-GB"/>
              <a:t>Number of informal concerns received by month </a:t>
            </a:r>
          </a:p>
        </c:rich>
      </c:tx>
      <c:layout/>
      <c:overlay val="0"/>
    </c:title>
    <c:autoTitleDeleted val="0"/>
    <c:plotArea>
      <c:layout>
        <c:manualLayout>
          <c:layoutTarget val="inner"/>
          <c:xMode val="edge"/>
          <c:yMode val="edge"/>
          <c:x val="4.100012077294686E-2"/>
          <c:y val="7.995292056714294E-2"/>
          <c:w val="0.94212789855072465"/>
          <c:h val="0.72798226598229399"/>
        </c:manualLayout>
      </c:layout>
      <c:lineChart>
        <c:grouping val="standard"/>
        <c:varyColors val="0"/>
        <c:ser>
          <c:idx val="0"/>
          <c:order val="0"/>
          <c:tx>
            <c:strRef>
              <c:f>'chart template'!$B$1</c:f>
              <c:strCache>
                <c:ptCount val="1"/>
                <c:pt idx="0">
                  <c:v>Values</c:v>
                </c:pt>
              </c:strCache>
            </c:strRef>
          </c:tx>
          <c:spPr>
            <a:ln w="15875">
              <a:solidFill>
                <a:schemeClr val="tx1"/>
              </a:solidFill>
            </a:ln>
          </c:spPr>
          <c:marker>
            <c:symbol val="diamond"/>
            <c:size val="3"/>
            <c:spPr>
              <a:solidFill>
                <a:schemeClr val="tx1"/>
              </a:solidFill>
              <a:ln>
                <a:noFill/>
              </a:ln>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'chart template'!$A$59:$A$82</c:f>
              <c:numCache>
                <c:formatCode>mmm\-yy</c:formatCode>
                <c:ptCount val="24"/>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pt idx="12">
                  <c:v>45017</c:v>
                </c:pt>
                <c:pt idx="13">
                  <c:v>45047</c:v>
                </c:pt>
                <c:pt idx="14">
                  <c:v>45078</c:v>
                </c:pt>
                <c:pt idx="15">
                  <c:v>45108</c:v>
                </c:pt>
                <c:pt idx="16">
                  <c:v>45139</c:v>
                </c:pt>
                <c:pt idx="17">
                  <c:v>45170</c:v>
                </c:pt>
                <c:pt idx="18">
                  <c:v>45200</c:v>
                </c:pt>
                <c:pt idx="19">
                  <c:v>45231</c:v>
                </c:pt>
                <c:pt idx="20">
                  <c:v>45261</c:v>
                </c:pt>
                <c:pt idx="21">
                  <c:v>45292</c:v>
                </c:pt>
                <c:pt idx="22">
                  <c:v>45323</c:v>
                </c:pt>
                <c:pt idx="23">
                  <c:v>45352</c:v>
                </c:pt>
              </c:numCache>
            </c:numRef>
          </c:cat>
          <c:val>
            <c:numRef>
              <c:f>'chart template'!$B$59:$B$82</c:f>
              <c:numCache>
                <c:formatCode>General</c:formatCode>
                <c:ptCount val="24"/>
                <c:pt idx="0">
                  <c:v>138</c:v>
                </c:pt>
                <c:pt idx="1">
                  <c:v>132</c:v>
                </c:pt>
                <c:pt idx="2">
                  <c:v>136</c:v>
                </c:pt>
                <c:pt idx="3">
                  <c:v>107</c:v>
                </c:pt>
                <c:pt idx="4">
                  <c:v>66</c:v>
                </c:pt>
                <c:pt idx="5">
                  <c:v>54</c:v>
                </c:pt>
                <c:pt idx="6">
                  <c:v>58</c:v>
                </c:pt>
                <c:pt idx="7">
                  <c:v>33</c:v>
                </c:pt>
                <c:pt idx="8">
                  <c:v>18</c:v>
                </c:pt>
                <c:pt idx="9">
                  <c:v>45</c:v>
                </c:pt>
                <c:pt idx="10">
                  <c:v>56</c:v>
                </c:pt>
                <c:pt idx="11">
                  <c:v>73</c:v>
                </c:pt>
                <c:pt idx="12">
                  <c:v>53</c:v>
                </c:pt>
                <c:pt idx="13">
                  <c:v>82</c:v>
                </c:pt>
                <c:pt idx="14">
                  <c:v>73</c:v>
                </c:pt>
                <c:pt idx="15">
                  <c:v>51</c:v>
                </c:pt>
                <c:pt idx="16">
                  <c:v>48</c:v>
                </c:pt>
                <c:pt idx="17">
                  <c:v>56</c:v>
                </c:pt>
                <c:pt idx="18">
                  <c:v>57</c:v>
                </c:pt>
                <c:pt idx="19">
                  <c:v>63</c:v>
                </c:pt>
                <c:pt idx="20">
                  <c:v>44</c:v>
                </c:pt>
                <c:pt idx="21">
                  <c:v>73</c:v>
                </c:pt>
                <c:pt idx="22">
                  <c:v>69</c:v>
                </c:pt>
                <c:pt idx="23">
                  <c:v>67</c:v>
                </c:pt>
              </c:numCache>
            </c:numRef>
          </c:val>
          <c:smooth val="0"/>
          <c:extLst>
            <c:ext xmlns:c16="http://schemas.microsoft.com/office/drawing/2014/chart" uri="{C3380CC4-5D6E-409C-BE32-E72D297353CC}">
              <c16:uniqueId val="{00000000-0129-4C86-9F23-C6195F7FF29C}"/>
            </c:ext>
          </c:extLst>
        </c:ser>
        <c:dLbls>
          <c:showLegendKey val="0"/>
          <c:showVal val="0"/>
          <c:showCatName val="0"/>
          <c:showSerName val="0"/>
          <c:showPercent val="0"/>
          <c:showBubbleSize val="0"/>
        </c:dLbls>
        <c:marker val="1"/>
        <c:smooth val="0"/>
        <c:axId val="167790080"/>
        <c:axId val="84130560"/>
      </c:lineChart>
      <c:catAx>
        <c:axId val="167790080"/>
        <c:scaling>
          <c:orientation val="minMax"/>
        </c:scaling>
        <c:delete val="0"/>
        <c:axPos val="b"/>
        <c:numFmt formatCode="dd/mm/yy" sourceLinked="0"/>
        <c:majorTickMark val="out"/>
        <c:minorTickMark val="none"/>
        <c:tickLblPos val="nextTo"/>
        <c:spPr>
          <a:ln>
            <a:noFill/>
          </a:ln>
        </c:spPr>
        <c:txPr>
          <a:bodyPr rot="-5400000" vert="horz"/>
          <a:lstStyle/>
          <a:p>
            <a:pPr>
              <a:defRPr sz="900">
                <a:latin typeface="Arial" panose="020B0604020202020204" pitchFamily="34" charset="0"/>
                <a:cs typeface="Arial" panose="020B0604020202020204" pitchFamily="34" charset="0"/>
              </a:defRPr>
            </a:pPr>
            <a:endParaRPr lang="en-US"/>
          </a:p>
        </c:txPr>
        <c:crossAx val="84130560"/>
        <c:crosses val="autoZero"/>
        <c:auto val="0"/>
        <c:lblAlgn val="ctr"/>
        <c:lblOffset val="100"/>
        <c:tickLblSkip val="1"/>
        <c:noMultiLvlLbl val="1"/>
      </c:catAx>
      <c:valAx>
        <c:axId val="84130560"/>
        <c:scaling>
          <c:orientation val="minMax"/>
        </c:scaling>
        <c:delete val="0"/>
        <c:axPos val="l"/>
        <c:majorGridlines>
          <c:spPr>
            <a:ln w="6350">
              <a:solidFill>
                <a:schemeClr val="bg1">
                  <a:lumMod val="75000"/>
                </a:schemeClr>
              </a:solidFill>
            </a:ln>
          </c:spPr>
        </c:majorGridlines>
        <c:numFmt formatCode="General" sourceLinked="1"/>
        <c:majorTickMark val="out"/>
        <c:minorTickMark val="none"/>
        <c:tickLblPos val="nextTo"/>
        <c:spPr>
          <a:ln>
            <a:noFill/>
          </a:ln>
        </c:spPr>
        <c:txPr>
          <a:bodyPr/>
          <a:lstStyle/>
          <a:p>
            <a:pPr>
              <a:defRPr sz="800">
                <a:latin typeface="Arial" panose="020B0604020202020204" pitchFamily="34" charset="0"/>
                <a:cs typeface="Arial" panose="020B0604020202020204" pitchFamily="34" charset="0"/>
              </a:defRPr>
            </a:pPr>
            <a:endParaRPr lang="en-US"/>
          </a:p>
        </c:txPr>
        <c:crossAx val="167790080"/>
        <c:crosses val="autoZero"/>
        <c:crossBetween val="between"/>
      </c:valAx>
    </c:plotArea>
    <c:plotVisOnly val="1"/>
    <c:dispBlanksAs val="gap"/>
    <c:showDLblsOverMax val="0"/>
  </c:chart>
  <c:spPr>
    <a:ln w="6350">
      <a:solidFill>
        <a:sysClr val="window" lastClr="FFFFFF">
          <a:lumMod val="75000"/>
        </a:sysClr>
      </a:solid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[pals received.xlsx]Sheet1!PivotTable1</c:name>
    <c:fmtId val="-1"/>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PALS Concerns received by Site and Specialty</a:t>
            </a:r>
          </a:p>
        </c:rich>
      </c:tx>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Sheet1!$B$3:$B$4</c:f>
              <c:strCache>
                <c:ptCount val="1"/>
                <c:pt idx="0">
                  <c:v>Chelsea and Westminster Hospital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Sheet1!$A$5:$A$21</c:f>
              <c:strCache>
                <c:ptCount val="16"/>
                <c:pt idx="0">
                  <c:v>Emergency Department</c:v>
                </c:pt>
                <c:pt idx="1">
                  <c:v>Ear, Nose, Throat</c:v>
                </c:pt>
                <c:pt idx="2">
                  <c:v>Trauma / Orthopaedics</c:v>
                </c:pt>
                <c:pt idx="3">
                  <c:v>Urology</c:v>
                </c:pt>
                <c:pt idx="4">
                  <c:v>General Surgery</c:v>
                </c:pt>
                <c:pt idx="5">
                  <c:v>Gynaecology</c:v>
                </c:pt>
                <c:pt idx="6">
                  <c:v>Vascular</c:v>
                </c:pt>
                <c:pt idx="7">
                  <c:v>Imaging</c:v>
                </c:pt>
                <c:pt idx="8">
                  <c:v>Dermatology</c:v>
                </c:pt>
                <c:pt idx="9">
                  <c:v>Maternity / Obstetrics</c:v>
                </c:pt>
                <c:pt idx="10">
                  <c:v>Acute Medicine</c:v>
                </c:pt>
                <c:pt idx="11">
                  <c:v>Cardiology</c:v>
                </c:pt>
                <c:pt idx="12">
                  <c:v>Transport</c:v>
                </c:pt>
                <c:pt idx="13">
                  <c:v>Outpatients</c:v>
                </c:pt>
                <c:pt idx="14">
                  <c:v>Paediatric Medical</c:v>
                </c:pt>
                <c:pt idx="15">
                  <c:v>Plastics/Hands</c:v>
                </c:pt>
              </c:strCache>
            </c:strRef>
          </c:cat>
          <c:val>
            <c:numRef>
              <c:f>Sheet1!$B$5:$B$21</c:f>
              <c:numCache>
                <c:formatCode>General</c:formatCode>
                <c:ptCount val="16"/>
                <c:pt idx="0">
                  <c:v>49</c:v>
                </c:pt>
                <c:pt idx="2">
                  <c:v>28</c:v>
                </c:pt>
                <c:pt idx="3">
                  <c:v>18</c:v>
                </c:pt>
                <c:pt idx="4">
                  <c:v>12</c:v>
                </c:pt>
                <c:pt idx="5">
                  <c:v>19</c:v>
                </c:pt>
                <c:pt idx="6">
                  <c:v>1</c:v>
                </c:pt>
                <c:pt idx="7">
                  <c:v>14</c:v>
                </c:pt>
                <c:pt idx="8">
                  <c:v>15</c:v>
                </c:pt>
                <c:pt idx="9">
                  <c:v>9</c:v>
                </c:pt>
                <c:pt idx="10">
                  <c:v>9</c:v>
                </c:pt>
                <c:pt idx="11">
                  <c:v>3</c:v>
                </c:pt>
                <c:pt idx="12">
                  <c:v>10</c:v>
                </c:pt>
                <c:pt idx="13">
                  <c:v>11</c:v>
                </c:pt>
                <c:pt idx="14">
                  <c:v>6</c:v>
                </c:pt>
                <c:pt idx="15">
                  <c:v>8</c:v>
                </c:pt>
              </c:numCache>
            </c:numRef>
          </c:val>
          <c:extLst>
            <c:ext xmlns:c16="http://schemas.microsoft.com/office/drawing/2014/chart" uri="{C3380CC4-5D6E-409C-BE32-E72D297353CC}">
              <c16:uniqueId val="{00000000-71A2-4473-A50C-04E147604968}"/>
            </c:ext>
          </c:extLst>
        </c:ser>
        <c:ser>
          <c:idx val="1"/>
          <c:order val="1"/>
          <c:tx>
            <c:strRef>
              <c:f>Sheet1!$C$3:$C$4</c:f>
              <c:strCache>
                <c:ptCount val="1"/>
                <c:pt idx="0">
                  <c:v>West Middlesex University Hospital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Sheet1!$A$5:$A$21</c:f>
              <c:strCache>
                <c:ptCount val="16"/>
                <c:pt idx="0">
                  <c:v>Emergency Department</c:v>
                </c:pt>
                <c:pt idx="1">
                  <c:v>Ear, Nose, Throat</c:v>
                </c:pt>
                <c:pt idx="2">
                  <c:v>Trauma / Orthopaedics</c:v>
                </c:pt>
                <c:pt idx="3">
                  <c:v>Urology</c:v>
                </c:pt>
                <c:pt idx="4">
                  <c:v>General Surgery</c:v>
                </c:pt>
                <c:pt idx="5">
                  <c:v>Gynaecology</c:v>
                </c:pt>
                <c:pt idx="6">
                  <c:v>Vascular</c:v>
                </c:pt>
                <c:pt idx="7">
                  <c:v>Imaging</c:v>
                </c:pt>
                <c:pt idx="8">
                  <c:v>Dermatology</c:v>
                </c:pt>
                <c:pt idx="9">
                  <c:v>Maternity / Obstetrics</c:v>
                </c:pt>
                <c:pt idx="10">
                  <c:v>Acute Medicine</c:v>
                </c:pt>
                <c:pt idx="11">
                  <c:v>Cardiology</c:v>
                </c:pt>
                <c:pt idx="12">
                  <c:v>Transport</c:v>
                </c:pt>
                <c:pt idx="13">
                  <c:v>Outpatients</c:v>
                </c:pt>
                <c:pt idx="14">
                  <c:v>Paediatric Medical</c:v>
                </c:pt>
                <c:pt idx="15">
                  <c:v>Plastics/Hands</c:v>
                </c:pt>
              </c:strCache>
            </c:strRef>
          </c:cat>
          <c:val>
            <c:numRef>
              <c:f>Sheet1!$C$5:$C$21</c:f>
              <c:numCache>
                <c:formatCode>General</c:formatCode>
                <c:ptCount val="16"/>
                <c:pt idx="0">
                  <c:v>69</c:v>
                </c:pt>
                <c:pt idx="1">
                  <c:v>79</c:v>
                </c:pt>
                <c:pt idx="2">
                  <c:v>36</c:v>
                </c:pt>
                <c:pt idx="3">
                  <c:v>10</c:v>
                </c:pt>
                <c:pt idx="4">
                  <c:v>16</c:v>
                </c:pt>
                <c:pt idx="5">
                  <c:v>8</c:v>
                </c:pt>
                <c:pt idx="6">
                  <c:v>26</c:v>
                </c:pt>
                <c:pt idx="7">
                  <c:v>10</c:v>
                </c:pt>
                <c:pt idx="8">
                  <c:v>8</c:v>
                </c:pt>
                <c:pt idx="9">
                  <c:v>11</c:v>
                </c:pt>
                <c:pt idx="10">
                  <c:v>8</c:v>
                </c:pt>
                <c:pt idx="11">
                  <c:v>14</c:v>
                </c:pt>
                <c:pt idx="12">
                  <c:v>6</c:v>
                </c:pt>
                <c:pt idx="13">
                  <c:v>3</c:v>
                </c:pt>
                <c:pt idx="14">
                  <c:v>8</c:v>
                </c:pt>
                <c:pt idx="15">
                  <c:v>6</c:v>
                </c:pt>
              </c:numCache>
            </c:numRef>
          </c:val>
          <c:extLst>
            <c:ext xmlns:c16="http://schemas.microsoft.com/office/drawing/2014/chart" uri="{C3380CC4-5D6E-409C-BE32-E72D297353CC}">
              <c16:uniqueId val="{00000001-71A2-4473-A50C-04E147604968}"/>
            </c:ext>
          </c:extLst>
        </c:ser>
        <c:dLbls>
          <c:showLegendKey val="0"/>
          <c:showVal val="0"/>
          <c:showCatName val="0"/>
          <c:showSerName val="0"/>
          <c:showPercent val="0"/>
          <c:showBubbleSize val="0"/>
        </c:dLbls>
        <c:gapWidth val="219"/>
        <c:overlap val="-27"/>
        <c:axId val="421197903"/>
        <c:axId val="421198319"/>
      </c:barChart>
      <c:catAx>
        <c:axId val="421197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198319"/>
        <c:crosses val="autoZero"/>
        <c:auto val="1"/>
        <c:lblAlgn val="ctr"/>
        <c:lblOffset val="100"/>
        <c:noMultiLvlLbl val="0"/>
      </c:catAx>
      <c:valAx>
        <c:axId val="4211983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197903"/>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Maternity (antenatal) FFT Satisfaction %</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Maternity!$B$3</c:f>
              <c:strCache>
                <c:ptCount val="1"/>
                <c:pt idx="0">
                  <c:v>CWFT</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Maternity!$C$1:$N$2</c:f>
              <c:strCache>
                <c:ptCount val="12"/>
                <c:pt idx="0">
                  <c:v>Apr-23</c:v>
                </c:pt>
                <c:pt idx="1">
                  <c:v>May-23</c:v>
                </c:pt>
                <c:pt idx="2">
                  <c:v>Jun-23</c:v>
                </c:pt>
                <c:pt idx="3">
                  <c:v>Jul-23</c:v>
                </c:pt>
                <c:pt idx="4">
                  <c:v>Aug-23</c:v>
                </c:pt>
                <c:pt idx="5">
                  <c:v>Sep-23</c:v>
                </c:pt>
                <c:pt idx="6">
                  <c:v>Oct-23</c:v>
                </c:pt>
                <c:pt idx="7">
                  <c:v>Nov-23</c:v>
                </c:pt>
                <c:pt idx="8">
                  <c:v>Dec-23</c:v>
                </c:pt>
                <c:pt idx="9">
                  <c:v>Jan-24</c:v>
                </c:pt>
                <c:pt idx="10">
                  <c:v>Feb-24</c:v>
                </c:pt>
                <c:pt idx="11">
                  <c:v>Mar-24</c:v>
                </c:pt>
              </c:strCache>
            </c:strRef>
          </c:cat>
          <c:val>
            <c:numRef>
              <c:f>Maternity!$C$3:$N$3</c:f>
              <c:numCache>
                <c:formatCode>0%</c:formatCode>
                <c:ptCount val="12"/>
                <c:pt idx="0">
                  <c:v>0.87</c:v>
                </c:pt>
                <c:pt idx="1">
                  <c:v>0.89</c:v>
                </c:pt>
                <c:pt idx="2">
                  <c:v>0.78</c:v>
                </c:pt>
                <c:pt idx="3">
                  <c:v>0.95</c:v>
                </c:pt>
                <c:pt idx="4">
                  <c:v>0.91</c:v>
                </c:pt>
                <c:pt idx="5">
                  <c:v>0.81</c:v>
                </c:pt>
                <c:pt idx="6">
                  <c:v>0.92</c:v>
                </c:pt>
                <c:pt idx="7">
                  <c:v>0.91</c:v>
                </c:pt>
                <c:pt idx="8">
                  <c:v>0.9</c:v>
                </c:pt>
                <c:pt idx="9">
                  <c:v>0.85</c:v>
                </c:pt>
                <c:pt idx="10">
                  <c:v>0.92</c:v>
                </c:pt>
                <c:pt idx="11">
                  <c:v>0.8</c:v>
                </c:pt>
              </c:numCache>
            </c:numRef>
          </c:val>
          <c:smooth val="0"/>
          <c:extLst>
            <c:ext xmlns:c16="http://schemas.microsoft.com/office/drawing/2014/chart" uri="{C3380CC4-5D6E-409C-BE32-E72D297353CC}">
              <c16:uniqueId val="{00000000-9A02-4753-85B3-65DD872A7DD8}"/>
            </c:ext>
          </c:extLst>
        </c:ser>
        <c:ser>
          <c:idx val="1"/>
          <c:order val="1"/>
          <c:tx>
            <c:strRef>
              <c:f>Maternity!$B$4</c:f>
              <c:strCache>
                <c:ptCount val="1"/>
                <c:pt idx="0">
                  <c:v>NWL</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Maternity!$C$1:$N$2</c:f>
              <c:strCache>
                <c:ptCount val="12"/>
                <c:pt idx="0">
                  <c:v>Apr-23</c:v>
                </c:pt>
                <c:pt idx="1">
                  <c:v>May-23</c:v>
                </c:pt>
                <c:pt idx="2">
                  <c:v>Jun-23</c:v>
                </c:pt>
                <c:pt idx="3">
                  <c:v>Jul-23</c:v>
                </c:pt>
                <c:pt idx="4">
                  <c:v>Aug-23</c:v>
                </c:pt>
                <c:pt idx="5">
                  <c:v>Sep-23</c:v>
                </c:pt>
                <c:pt idx="6">
                  <c:v>Oct-23</c:v>
                </c:pt>
                <c:pt idx="7">
                  <c:v>Nov-23</c:v>
                </c:pt>
                <c:pt idx="8">
                  <c:v>Dec-23</c:v>
                </c:pt>
                <c:pt idx="9">
                  <c:v>Jan-24</c:v>
                </c:pt>
                <c:pt idx="10">
                  <c:v>Feb-24</c:v>
                </c:pt>
                <c:pt idx="11">
                  <c:v>Mar-24</c:v>
                </c:pt>
              </c:strCache>
            </c:strRef>
          </c:cat>
          <c:val>
            <c:numRef>
              <c:f>Maternity!$C$4:$N$4</c:f>
              <c:numCache>
                <c:formatCode>0%</c:formatCode>
                <c:ptCount val="12"/>
                <c:pt idx="0">
                  <c:v>0.86</c:v>
                </c:pt>
                <c:pt idx="1">
                  <c:v>0.88</c:v>
                </c:pt>
                <c:pt idx="2">
                  <c:v>0.84</c:v>
                </c:pt>
                <c:pt idx="3">
                  <c:v>0.86</c:v>
                </c:pt>
                <c:pt idx="4">
                  <c:v>0.9</c:v>
                </c:pt>
                <c:pt idx="5">
                  <c:v>0.86</c:v>
                </c:pt>
                <c:pt idx="6">
                  <c:v>0.86</c:v>
                </c:pt>
                <c:pt idx="7">
                  <c:v>0.9</c:v>
                </c:pt>
                <c:pt idx="8">
                  <c:v>0.84</c:v>
                </c:pt>
                <c:pt idx="9">
                  <c:v>0.89</c:v>
                </c:pt>
                <c:pt idx="10">
                  <c:v>0.89</c:v>
                </c:pt>
                <c:pt idx="11">
                  <c:v>0.92</c:v>
                </c:pt>
              </c:numCache>
            </c:numRef>
          </c:val>
          <c:smooth val="0"/>
          <c:extLst>
            <c:ext xmlns:c16="http://schemas.microsoft.com/office/drawing/2014/chart" uri="{C3380CC4-5D6E-409C-BE32-E72D297353CC}">
              <c16:uniqueId val="{00000001-9A02-4753-85B3-65DD872A7DD8}"/>
            </c:ext>
          </c:extLst>
        </c:ser>
        <c:ser>
          <c:idx val="2"/>
          <c:order val="2"/>
          <c:tx>
            <c:strRef>
              <c:f>Maternity!$B$5</c:f>
              <c:strCache>
                <c:ptCount val="1"/>
                <c:pt idx="0">
                  <c:v>National</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Maternity!$C$1:$N$2</c:f>
              <c:strCache>
                <c:ptCount val="12"/>
                <c:pt idx="0">
                  <c:v>Apr-23</c:v>
                </c:pt>
                <c:pt idx="1">
                  <c:v>May-23</c:v>
                </c:pt>
                <c:pt idx="2">
                  <c:v>Jun-23</c:v>
                </c:pt>
                <c:pt idx="3">
                  <c:v>Jul-23</c:v>
                </c:pt>
                <c:pt idx="4">
                  <c:v>Aug-23</c:v>
                </c:pt>
                <c:pt idx="5">
                  <c:v>Sep-23</c:v>
                </c:pt>
                <c:pt idx="6">
                  <c:v>Oct-23</c:v>
                </c:pt>
                <c:pt idx="7">
                  <c:v>Nov-23</c:v>
                </c:pt>
                <c:pt idx="8">
                  <c:v>Dec-23</c:v>
                </c:pt>
                <c:pt idx="9">
                  <c:v>Jan-24</c:v>
                </c:pt>
                <c:pt idx="10">
                  <c:v>Feb-24</c:v>
                </c:pt>
                <c:pt idx="11">
                  <c:v>Mar-24</c:v>
                </c:pt>
              </c:strCache>
            </c:strRef>
          </c:cat>
          <c:val>
            <c:numRef>
              <c:f>Maternity!$C$5:$N$5</c:f>
              <c:numCache>
                <c:formatCode>0%</c:formatCode>
                <c:ptCount val="12"/>
                <c:pt idx="0">
                  <c:v>0.93</c:v>
                </c:pt>
                <c:pt idx="1">
                  <c:v>0.92</c:v>
                </c:pt>
                <c:pt idx="2">
                  <c:v>0.92</c:v>
                </c:pt>
                <c:pt idx="3">
                  <c:v>0.9</c:v>
                </c:pt>
                <c:pt idx="4">
                  <c:v>0.91</c:v>
                </c:pt>
                <c:pt idx="5">
                  <c:v>0.91</c:v>
                </c:pt>
                <c:pt idx="6">
                  <c:v>0.91</c:v>
                </c:pt>
                <c:pt idx="7">
                  <c:v>0.92</c:v>
                </c:pt>
                <c:pt idx="8">
                  <c:v>0.9</c:v>
                </c:pt>
                <c:pt idx="9">
                  <c:v>0.92</c:v>
                </c:pt>
                <c:pt idx="10">
                  <c:v>0.92</c:v>
                </c:pt>
                <c:pt idx="11">
                  <c:v>0.91</c:v>
                </c:pt>
              </c:numCache>
            </c:numRef>
          </c:val>
          <c:smooth val="0"/>
          <c:extLst>
            <c:ext xmlns:c16="http://schemas.microsoft.com/office/drawing/2014/chart" uri="{C3380CC4-5D6E-409C-BE32-E72D297353CC}">
              <c16:uniqueId val="{00000002-9A02-4753-85B3-65DD872A7DD8}"/>
            </c:ext>
          </c:extLst>
        </c:ser>
        <c:dLbls>
          <c:showLegendKey val="0"/>
          <c:showVal val="0"/>
          <c:showCatName val="0"/>
          <c:showSerName val="0"/>
          <c:showPercent val="0"/>
          <c:showBubbleSize val="0"/>
        </c:dLbls>
        <c:smooth val="0"/>
        <c:axId val="310209263"/>
        <c:axId val="310210095"/>
      </c:lineChart>
      <c:catAx>
        <c:axId val="310209263"/>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210095"/>
        <c:crosses val="autoZero"/>
        <c:auto val="1"/>
        <c:lblAlgn val="ctr"/>
        <c:lblOffset val="100"/>
        <c:noMultiLvlLbl val="1"/>
      </c:catAx>
      <c:valAx>
        <c:axId val="3102100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20926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[pals received.xlsx]Sheet1!PivotTable1</c:name>
    <c:fmtId val="-1"/>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PALS Concerns received by Division and Subject</a:t>
            </a:r>
          </a:p>
        </c:rich>
      </c:tx>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5"/>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3"/>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6"/>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lumMod val="60000"/>
            </a:schemeClr>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pivotFmt>
    </c:pivotFmts>
    <c:plotArea>
      <c:layout>
        <c:manualLayout>
          <c:layoutTarget val="inner"/>
          <c:xMode val="edge"/>
          <c:yMode val="edge"/>
          <c:x val="6.5169120809051406E-2"/>
          <c:y val="0.11159420289855072"/>
          <c:w val="0.66335765232735744"/>
          <c:h val="0.46839362470995471"/>
        </c:manualLayout>
      </c:layout>
      <c:barChart>
        <c:barDir val="col"/>
        <c:grouping val="clustered"/>
        <c:varyColors val="0"/>
        <c:ser>
          <c:idx val="0"/>
          <c:order val="0"/>
          <c:tx>
            <c:strRef>
              <c:f>Sheet1!$B$3:$B$4</c:f>
              <c:strCache>
                <c:ptCount val="1"/>
                <c:pt idx="0">
                  <c:v>Clinical Support Services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Sheet1!$A$5:$A$15</c:f>
              <c:strCache>
                <c:ptCount val="10"/>
                <c:pt idx="0">
                  <c:v>Communication</c:v>
                </c:pt>
                <c:pt idx="1">
                  <c:v>Appointments</c:v>
                </c:pt>
                <c:pt idx="2">
                  <c:v>Values and behaviours</c:v>
                </c:pt>
                <c:pt idx="3">
                  <c:v>Admission, discharge and transfers</c:v>
                </c:pt>
                <c:pt idx="4">
                  <c:v>Patient care</c:v>
                </c:pt>
                <c:pt idx="5">
                  <c:v>Clinical Treatment - Accident &amp; emergency</c:v>
                </c:pt>
                <c:pt idx="6">
                  <c:v>Clinical treatment - Surgical</c:v>
                </c:pt>
                <c:pt idx="7">
                  <c:v>Access to treatment or drugs</c:v>
                </c:pt>
                <c:pt idx="8">
                  <c:v>Clinical treatment - General medicine</c:v>
                </c:pt>
                <c:pt idx="9">
                  <c:v>Waiting times</c:v>
                </c:pt>
              </c:strCache>
            </c:strRef>
          </c:cat>
          <c:val>
            <c:numRef>
              <c:f>Sheet1!$B$5:$B$15</c:f>
              <c:numCache>
                <c:formatCode>General</c:formatCode>
                <c:ptCount val="10"/>
                <c:pt idx="0">
                  <c:v>22</c:v>
                </c:pt>
                <c:pt idx="1">
                  <c:v>18</c:v>
                </c:pt>
                <c:pt idx="2">
                  <c:v>13</c:v>
                </c:pt>
                <c:pt idx="6">
                  <c:v>1</c:v>
                </c:pt>
              </c:numCache>
            </c:numRef>
          </c:val>
          <c:extLst>
            <c:ext xmlns:c16="http://schemas.microsoft.com/office/drawing/2014/chart" uri="{C3380CC4-5D6E-409C-BE32-E72D297353CC}">
              <c16:uniqueId val="{00000000-DFD3-4520-BE0C-8D849AEFDCDA}"/>
            </c:ext>
          </c:extLst>
        </c:ser>
        <c:ser>
          <c:idx val="1"/>
          <c:order val="1"/>
          <c:tx>
            <c:strRef>
              <c:f>Sheet1!$C$3:$C$4</c:f>
              <c:strCache>
                <c:ptCount val="1"/>
                <c:pt idx="0">
                  <c:v>Corporate functions</c:v>
                </c:pt>
              </c:strCache>
            </c:strRef>
          </c:tx>
          <c:spPr>
            <a:solidFill>
              <a:schemeClr val="accent2"/>
            </a:solidFill>
            <a:ln>
              <a:noFill/>
            </a:ln>
            <a:effectLst/>
          </c:spPr>
          <c:invertIfNegative val="0"/>
          <c:cat>
            <c:strRef>
              <c:f>Sheet1!$A$5:$A$15</c:f>
              <c:strCache>
                <c:ptCount val="10"/>
                <c:pt idx="0">
                  <c:v>Communication</c:v>
                </c:pt>
                <c:pt idx="1">
                  <c:v>Appointments</c:v>
                </c:pt>
                <c:pt idx="2">
                  <c:v>Values and behaviours</c:v>
                </c:pt>
                <c:pt idx="3">
                  <c:v>Admission, discharge and transfers</c:v>
                </c:pt>
                <c:pt idx="4">
                  <c:v>Patient care</c:v>
                </c:pt>
                <c:pt idx="5">
                  <c:v>Clinical Treatment - Accident &amp; emergency</c:v>
                </c:pt>
                <c:pt idx="6">
                  <c:v>Clinical treatment - Surgical</c:v>
                </c:pt>
                <c:pt idx="7">
                  <c:v>Access to treatment or drugs</c:v>
                </c:pt>
                <c:pt idx="8">
                  <c:v>Clinical treatment - General medicine</c:v>
                </c:pt>
                <c:pt idx="9">
                  <c:v>Waiting times</c:v>
                </c:pt>
              </c:strCache>
            </c:strRef>
          </c:cat>
          <c:val>
            <c:numRef>
              <c:f>Sheet1!$C$5:$C$15</c:f>
              <c:numCache>
                <c:formatCode>General</c:formatCode>
                <c:ptCount val="10"/>
                <c:pt idx="0">
                  <c:v>1</c:v>
                </c:pt>
                <c:pt idx="2">
                  <c:v>3</c:v>
                </c:pt>
                <c:pt idx="3">
                  <c:v>4</c:v>
                </c:pt>
                <c:pt idx="4">
                  <c:v>1</c:v>
                </c:pt>
              </c:numCache>
            </c:numRef>
          </c:val>
          <c:extLst>
            <c:ext xmlns:c16="http://schemas.microsoft.com/office/drawing/2014/chart" uri="{C3380CC4-5D6E-409C-BE32-E72D297353CC}">
              <c16:uniqueId val="{00000001-DFD3-4520-BE0C-8D849AEFDCDA}"/>
            </c:ext>
          </c:extLst>
        </c:ser>
        <c:ser>
          <c:idx val="2"/>
          <c:order val="2"/>
          <c:tx>
            <c:strRef>
              <c:f>Sheet1!$D$3:$D$4</c:f>
              <c:strCache>
                <c:ptCount val="1"/>
                <c:pt idx="0">
                  <c:v>Emergency and Integrated Care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Sheet1!$A$5:$A$15</c:f>
              <c:strCache>
                <c:ptCount val="10"/>
                <c:pt idx="0">
                  <c:v>Communication</c:v>
                </c:pt>
                <c:pt idx="1">
                  <c:v>Appointments</c:v>
                </c:pt>
                <c:pt idx="2">
                  <c:v>Values and behaviours</c:v>
                </c:pt>
                <c:pt idx="3">
                  <c:v>Admission, discharge and transfers</c:v>
                </c:pt>
                <c:pt idx="4">
                  <c:v>Patient care</c:v>
                </c:pt>
                <c:pt idx="5">
                  <c:v>Clinical Treatment - Accident &amp; emergency</c:v>
                </c:pt>
                <c:pt idx="6">
                  <c:v>Clinical treatment - Surgical</c:v>
                </c:pt>
                <c:pt idx="7">
                  <c:v>Access to treatment or drugs</c:v>
                </c:pt>
                <c:pt idx="8">
                  <c:v>Clinical treatment - General medicine</c:v>
                </c:pt>
                <c:pt idx="9">
                  <c:v>Waiting times</c:v>
                </c:pt>
              </c:strCache>
            </c:strRef>
          </c:cat>
          <c:val>
            <c:numRef>
              <c:f>Sheet1!$D$5:$D$15</c:f>
              <c:numCache>
                <c:formatCode>General</c:formatCode>
                <c:ptCount val="10"/>
                <c:pt idx="0">
                  <c:v>85</c:v>
                </c:pt>
                <c:pt idx="1">
                  <c:v>7</c:v>
                </c:pt>
                <c:pt idx="2">
                  <c:v>30</c:v>
                </c:pt>
                <c:pt idx="3">
                  <c:v>16</c:v>
                </c:pt>
                <c:pt idx="4">
                  <c:v>22</c:v>
                </c:pt>
                <c:pt idx="5">
                  <c:v>33</c:v>
                </c:pt>
                <c:pt idx="6">
                  <c:v>2</c:v>
                </c:pt>
                <c:pt idx="7">
                  <c:v>13</c:v>
                </c:pt>
                <c:pt idx="8">
                  <c:v>15</c:v>
                </c:pt>
                <c:pt idx="9">
                  <c:v>6</c:v>
                </c:pt>
              </c:numCache>
            </c:numRef>
          </c:val>
          <c:extLst>
            <c:ext xmlns:c16="http://schemas.microsoft.com/office/drawing/2014/chart" uri="{C3380CC4-5D6E-409C-BE32-E72D297353CC}">
              <c16:uniqueId val="{00000002-DFD3-4520-BE0C-8D849AEFDCDA}"/>
            </c:ext>
          </c:extLst>
        </c:ser>
        <c:ser>
          <c:idx val="3"/>
          <c:order val="3"/>
          <c:tx>
            <c:strRef>
              <c:f>Sheet1!$E$3:$E$4</c:f>
              <c:strCache>
                <c:ptCount val="1"/>
                <c:pt idx="0">
                  <c:v>Enterprise</c:v>
                </c:pt>
              </c:strCache>
            </c:strRef>
          </c:tx>
          <c:spPr>
            <a:solidFill>
              <a:schemeClr val="accent4"/>
            </a:solidFill>
            <a:ln>
              <a:noFill/>
            </a:ln>
            <a:effectLst/>
          </c:spPr>
          <c:invertIfNegative val="0"/>
          <c:cat>
            <c:strRef>
              <c:f>Sheet1!$A$5:$A$15</c:f>
              <c:strCache>
                <c:ptCount val="10"/>
                <c:pt idx="0">
                  <c:v>Communication</c:v>
                </c:pt>
                <c:pt idx="1">
                  <c:v>Appointments</c:v>
                </c:pt>
                <c:pt idx="2">
                  <c:v>Values and behaviours</c:v>
                </c:pt>
                <c:pt idx="3">
                  <c:v>Admission, discharge and transfers</c:v>
                </c:pt>
                <c:pt idx="4">
                  <c:v>Patient care</c:v>
                </c:pt>
                <c:pt idx="5">
                  <c:v>Clinical Treatment - Accident &amp; emergency</c:v>
                </c:pt>
                <c:pt idx="6">
                  <c:v>Clinical treatment - Surgical</c:v>
                </c:pt>
                <c:pt idx="7">
                  <c:v>Access to treatment or drugs</c:v>
                </c:pt>
                <c:pt idx="8">
                  <c:v>Clinical treatment - General medicine</c:v>
                </c:pt>
                <c:pt idx="9">
                  <c:v>Waiting times</c:v>
                </c:pt>
              </c:strCache>
            </c:strRef>
          </c:cat>
          <c:val>
            <c:numRef>
              <c:f>Sheet1!$E$5:$E$15</c:f>
              <c:numCache>
                <c:formatCode>General</c:formatCode>
                <c:ptCount val="10"/>
                <c:pt idx="0">
                  <c:v>1</c:v>
                </c:pt>
              </c:numCache>
            </c:numRef>
          </c:val>
          <c:extLst>
            <c:ext xmlns:c16="http://schemas.microsoft.com/office/drawing/2014/chart" uri="{C3380CC4-5D6E-409C-BE32-E72D297353CC}">
              <c16:uniqueId val="{00000003-DFD3-4520-BE0C-8D849AEFDCDA}"/>
            </c:ext>
          </c:extLst>
        </c:ser>
        <c:ser>
          <c:idx val="4"/>
          <c:order val="4"/>
          <c:tx>
            <c:strRef>
              <c:f>Sheet1!$F$3:$F$4</c:f>
              <c:strCache>
                <c:ptCount val="1"/>
                <c:pt idx="0">
                  <c:v>Planned Care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Sheet1!$A$5:$A$15</c:f>
              <c:strCache>
                <c:ptCount val="10"/>
                <c:pt idx="0">
                  <c:v>Communication</c:v>
                </c:pt>
                <c:pt idx="1">
                  <c:v>Appointments</c:v>
                </c:pt>
                <c:pt idx="2">
                  <c:v>Values and behaviours</c:v>
                </c:pt>
                <c:pt idx="3">
                  <c:v>Admission, discharge and transfers</c:v>
                </c:pt>
                <c:pt idx="4">
                  <c:v>Patient care</c:v>
                </c:pt>
                <c:pt idx="5">
                  <c:v>Clinical Treatment - Accident &amp; emergency</c:v>
                </c:pt>
                <c:pt idx="6">
                  <c:v>Clinical treatment - Surgical</c:v>
                </c:pt>
                <c:pt idx="7">
                  <c:v>Access to treatment or drugs</c:v>
                </c:pt>
                <c:pt idx="8">
                  <c:v>Clinical treatment - General medicine</c:v>
                </c:pt>
                <c:pt idx="9">
                  <c:v>Waiting times</c:v>
                </c:pt>
              </c:strCache>
            </c:strRef>
          </c:cat>
          <c:val>
            <c:numRef>
              <c:f>Sheet1!$F$5:$F$15</c:f>
              <c:numCache>
                <c:formatCode>General</c:formatCode>
                <c:ptCount val="10"/>
                <c:pt idx="0">
                  <c:v>138</c:v>
                </c:pt>
                <c:pt idx="1">
                  <c:v>77</c:v>
                </c:pt>
                <c:pt idx="2">
                  <c:v>13</c:v>
                </c:pt>
                <c:pt idx="3">
                  <c:v>19</c:v>
                </c:pt>
                <c:pt idx="4">
                  <c:v>8</c:v>
                </c:pt>
                <c:pt idx="6">
                  <c:v>23</c:v>
                </c:pt>
                <c:pt idx="7">
                  <c:v>10</c:v>
                </c:pt>
                <c:pt idx="8">
                  <c:v>2</c:v>
                </c:pt>
                <c:pt idx="9">
                  <c:v>6</c:v>
                </c:pt>
              </c:numCache>
            </c:numRef>
          </c:val>
          <c:extLst>
            <c:ext xmlns:c16="http://schemas.microsoft.com/office/drawing/2014/chart" uri="{C3380CC4-5D6E-409C-BE32-E72D297353CC}">
              <c16:uniqueId val="{00000004-DFD3-4520-BE0C-8D849AEFDCDA}"/>
            </c:ext>
          </c:extLst>
        </c:ser>
        <c:ser>
          <c:idx val="5"/>
          <c:order val="5"/>
          <c:tx>
            <c:strRef>
              <c:f>Sheet1!$G$3:$G$4</c:f>
              <c:strCache>
                <c:ptCount val="1"/>
                <c:pt idx="0">
                  <c:v>Specialist Care (Womens, Neonates, HIV, GUM and Dermatology)</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Sheet1!$A$5:$A$15</c:f>
              <c:strCache>
                <c:ptCount val="10"/>
                <c:pt idx="0">
                  <c:v>Communication</c:v>
                </c:pt>
                <c:pt idx="1">
                  <c:v>Appointments</c:v>
                </c:pt>
                <c:pt idx="2">
                  <c:v>Values and behaviours</c:v>
                </c:pt>
                <c:pt idx="3">
                  <c:v>Admission, discharge and transfers</c:v>
                </c:pt>
                <c:pt idx="4">
                  <c:v>Patient care</c:v>
                </c:pt>
                <c:pt idx="5">
                  <c:v>Clinical Treatment - Accident &amp; emergency</c:v>
                </c:pt>
                <c:pt idx="6">
                  <c:v>Clinical treatment - Surgical</c:v>
                </c:pt>
                <c:pt idx="7">
                  <c:v>Access to treatment or drugs</c:v>
                </c:pt>
                <c:pt idx="8">
                  <c:v>Clinical treatment - General medicine</c:v>
                </c:pt>
                <c:pt idx="9">
                  <c:v>Waiting times</c:v>
                </c:pt>
              </c:strCache>
            </c:strRef>
          </c:cat>
          <c:val>
            <c:numRef>
              <c:f>Sheet1!$G$5:$G$15</c:f>
              <c:numCache>
                <c:formatCode>General</c:formatCode>
                <c:ptCount val="10"/>
                <c:pt idx="0">
                  <c:v>33</c:v>
                </c:pt>
                <c:pt idx="1">
                  <c:v>20</c:v>
                </c:pt>
                <c:pt idx="2">
                  <c:v>7</c:v>
                </c:pt>
                <c:pt idx="3">
                  <c:v>2</c:v>
                </c:pt>
                <c:pt idx="4">
                  <c:v>5</c:v>
                </c:pt>
                <c:pt idx="6">
                  <c:v>1</c:v>
                </c:pt>
                <c:pt idx="7">
                  <c:v>3</c:v>
                </c:pt>
                <c:pt idx="9">
                  <c:v>1</c:v>
                </c:pt>
              </c:numCache>
            </c:numRef>
          </c:val>
          <c:extLst>
            <c:ext xmlns:c16="http://schemas.microsoft.com/office/drawing/2014/chart" uri="{C3380CC4-5D6E-409C-BE32-E72D297353CC}">
              <c16:uniqueId val="{00000005-DFD3-4520-BE0C-8D849AEFDCDA}"/>
            </c:ext>
          </c:extLst>
        </c:ser>
        <c:ser>
          <c:idx val="6"/>
          <c:order val="6"/>
          <c:tx>
            <c:strRef>
              <c:f>Sheet1!$H$3:$H$4</c:f>
              <c:strCache>
                <c:ptCount val="1"/>
                <c:pt idx="0">
                  <c:v>West London Childrens Healthcare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Sheet1!$A$5:$A$15</c:f>
              <c:strCache>
                <c:ptCount val="10"/>
                <c:pt idx="0">
                  <c:v>Communication</c:v>
                </c:pt>
                <c:pt idx="1">
                  <c:v>Appointments</c:v>
                </c:pt>
                <c:pt idx="2">
                  <c:v>Values and behaviours</c:v>
                </c:pt>
                <c:pt idx="3">
                  <c:v>Admission, discharge and transfers</c:v>
                </c:pt>
                <c:pt idx="4">
                  <c:v>Patient care</c:v>
                </c:pt>
                <c:pt idx="5">
                  <c:v>Clinical Treatment - Accident &amp; emergency</c:v>
                </c:pt>
                <c:pt idx="6">
                  <c:v>Clinical treatment - Surgical</c:v>
                </c:pt>
                <c:pt idx="7">
                  <c:v>Access to treatment or drugs</c:v>
                </c:pt>
                <c:pt idx="8">
                  <c:v>Clinical treatment - General medicine</c:v>
                </c:pt>
                <c:pt idx="9">
                  <c:v>Waiting times</c:v>
                </c:pt>
              </c:strCache>
            </c:strRef>
          </c:cat>
          <c:val>
            <c:numRef>
              <c:f>Sheet1!$H$5:$H$15</c:f>
              <c:numCache>
                <c:formatCode>General</c:formatCode>
                <c:ptCount val="10"/>
                <c:pt idx="0">
                  <c:v>9</c:v>
                </c:pt>
                <c:pt idx="1">
                  <c:v>2</c:v>
                </c:pt>
                <c:pt idx="2">
                  <c:v>6</c:v>
                </c:pt>
                <c:pt idx="3">
                  <c:v>2</c:v>
                </c:pt>
                <c:pt idx="4">
                  <c:v>1</c:v>
                </c:pt>
                <c:pt idx="7">
                  <c:v>1</c:v>
                </c:pt>
              </c:numCache>
            </c:numRef>
          </c:val>
          <c:extLst>
            <c:ext xmlns:c16="http://schemas.microsoft.com/office/drawing/2014/chart" uri="{C3380CC4-5D6E-409C-BE32-E72D297353CC}">
              <c16:uniqueId val="{00000006-DFD3-4520-BE0C-8D849AEFDCDA}"/>
            </c:ext>
          </c:extLst>
        </c:ser>
        <c:ser>
          <c:idx val="7"/>
          <c:order val="7"/>
          <c:tx>
            <c:strRef>
              <c:f>Sheet1!$I$3:$I$4</c:f>
              <c:strCache>
                <c:ptCount val="1"/>
                <c:pt idx="0">
                  <c:v>(blank)</c:v>
                </c:pt>
              </c:strCache>
            </c:strRef>
          </c:tx>
          <c:spPr>
            <a:solidFill>
              <a:schemeClr val="accent2">
                <a:lumMod val="60000"/>
              </a:schemeClr>
            </a:solidFill>
            <a:ln>
              <a:noFill/>
            </a:ln>
            <a:effectLst/>
          </c:spPr>
          <c:invertIfNegative val="0"/>
          <c:cat>
            <c:strRef>
              <c:f>Sheet1!$A$5:$A$15</c:f>
              <c:strCache>
                <c:ptCount val="10"/>
                <c:pt idx="0">
                  <c:v>Communication</c:v>
                </c:pt>
                <c:pt idx="1">
                  <c:v>Appointments</c:v>
                </c:pt>
                <c:pt idx="2">
                  <c:v>Values and behaviours</c:v>
                </c:pt>
                <c:pt idx="3">
                  <c:v>Admission, discharge and transfers</c:v>
                </c:pt>
                <c:pt idx="4">
                  <c:v>Patient care</c:v>
                </c:pt>
                <c:pt idx="5">
                  <c:v>Clinical Treatment - Accident &amp; emergency</c:v>
                </c:pt>
                <c:pt idx="6">
                  <c:v>Clinical treatment - Surgical</c:v>
                </c:pt>
                <c:pt idx="7">
                  <c:v>Access to treatment or drugs</c:v>
                </c:pt>
                <c:pt idx="8">
                  <c:v>Clinical treatment - General medicine</c:v>
                </c:pt>
                <c:pt idx="9">
                  <c:v>Waiting times</c:v>
                </c:pt>
              </c:strCache>
            </c:strRef>
          </c:cat>
          <c:val>
            <c:numRef>
              <c:f>Sheet1!$I$5:$I$15</c:f>
              <c:numCache>
                <c:formatCode>General</c:formatCode>
                <c:ptCount val="10"/>
              </c:numCache>
            </c:numRef>
          </c:val>
          <c:extLst>
            <c:ext xmlns:c16="http://schemas.microsoft.com/office/drawing/2014/chart" uri="{C3380CC4-5D6E-409C-BE32-E72D297353CC}">
              <c16:uniqueId val="{00000007-DFD3-4520-BE0C-8D849AEFDCDA}"/>
            </c:ext>
          </c:extLst>
        </c:ser>
        <c:dLbls>
          <c:showLegendKey val="0"/>
          <c:showVal val="0"/>
          <c:showCatName val="0"/>
          <c:showSerName val="0"/>
          <c:showPercent val="0"/>
          <c:showBubbleSize val="0"/>
        </c:dLbls>
        <c:gapWidth val="219"/>
        <c:overlap val="-27"/>
        <c:axId val="421197903"/>
        <c:axId val="421198319"/>
      </c:barChart>
      <c:catAx>
        <c:axId val="421197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198319"/>
        <c:crosses val="autoZero"/>
        <c:auto val="1"/>
        <c:lblAlgn val="ctr"/>
        <c:lblOffset val="100"/>
        <c:noMultiLvlLbl val="0"/>
      </c:catAx>
      <c:valAx>
        <c:axId val="4211983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197903"/>
        <c:crosses val="autoZero"/>
        <c:crossBetween val="between"/>
      </c:valAx>
      <c:spPr>
        <a:noFill/>
        <a:ln>
          <a:noFill/>
        </a:ln>
        <a:effectLst/>
      </c:spPr>
    </c:plotArea>
    <c:legend>
      <c:legendPos val="r"/>
      <c:layout>
        <c:manualLayout>
          <c:xMode val="edge"/>
          <c:yMode val="edge"/>
          <c:x val="0.73605972982190782"/>
          <c:y val="0.18059264331089048"/>
          <c:w val="0.25264083514984353"/>
          <c:h val="0.714981931606375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[pals received.xlsx]Sheet1!PivotTable1</c:name>
    <c:fmtId val="-1"/>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PALS Concerns received by Locality</a:t>
            </a:r>
          </a:p>
        </c:rich>
      </c:tx>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Sheet1!$B$3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Sheet1!$A$4:$A$16</c:f>
              <c:strCache>
                <c:ptCount val="12"/>
                <c:pt idx="0">
                  <c:v>OPD 3, WestMid</c:v>
                </c:pt>
                <c:pt idx="1">
                  <c:v>OPD 5, WestMid</c:v>
                </c:pt>
                <c:pt idx="2">
                  <c:v>Accident and Emergency Main Area, Ground Floor, Main Site, WestMid</c:v>
                </c:pt>
                <c:pt idx="3">
                  <c:v>Accident and Emergency Main Area, Ground Floor, ChelWest</c:v>
                </c:pt>
                <c:pt idx="4">
                  <c:v>OPD 2, WestMid</c:v>
                </c:pt>
                <c:pt idx="5">
                  <c:v>Outpatients General Surgery &amp; Urology (Gate 2), Lower Ground Floor, ChelWest</c:v>
                </c:pt>
                <c:pt idx="6">
                  <c:v>Outpatients 2 - Gynaecology Department, ChelWest</c:v>
                </c:pt>
                <c:pt idx="7">
                  <c:v>OPD 4, WestMid</c:v>
                </c:pt>
                <c:pt idx="8">
                  <c:v>Daniel Turner Skin Unit, George Watts Ward, Dermatology, 1st Floor, ChelWest</c:v>
                </c:pt>
                <c:pt idx="9">
                  <c:v>Paediatric Outpatients, 3rd Floor, WestMid</c:v>
                </c:pt>
                <c:pt idx="10">
                  <c:v>Outpatient Fracture Clinic, Ground Floor, ChelWest</c:v>
                </c:pt>
                <c:pt idx="11">
                  <c:v>Outpatients Medicine (Gate 4), Lower Ground Floor, ChelWest</c:v>
                </c:pt>
              </c:strCache>
            </c:strRef>
          </c:cat>
          <c:val>
            <c:numRef>
              <c:f>Sheet1!$B$4:$B$16</c:f>
              <c:numCache>
                <c:formatCode>General</c:formatCode>
                <c:ptCount val="12"/>
                <c:pt idx="0">
                  <c:v>80</c:v>
                </c:pt>
                <c:pt idx="1">
                  <c:v>75</c:v>
                </c:pt>
                <c:pt idx="2">
                  <c:v>64</c:v>
                </c:pt>
                <c:pt idx="3">
                  <c:v>48</c:v>
                </c:pt>
                <c:pt idx="4">
                  <c:v>31</c:v>
                </c:pt>
                <c:pt idx="5">
                  <c:v>31</c:v>
                </c:pt>
                <c:pt idx="6">
                  <c:v>20</c:v>
                </c:pt>
                <c:pt idx="7">
                  <c:v>16</c:v>
                </c:pt>
                <c:pt idx="8">
                  <c:v>15</c:v>
                </c:pt>
                <c:pt idx="9">
                  <c:v>15</c:v>
                </c:pt>
                <c:pt idx="10">
                  <c:v>15</c:v>
                </c:pt>
                <c:pt idx="11">
                  <c:v>14</c:v>
                </c:pt>
              </c:numCache>
            </c:numRef>
          </c:val>
          <c:extLst>
            <c:ext xmlns:c16="http://schemas.microsoft.com/office/drawing/2014/chart" uri="{C3380CC4-5D6E-409C-BE32-E72D297353CC}">
              <c16:uniqueId val="{00000000-1232-4759-9E35-B55159C387E6}"/>
            </c:ext>
          </c:extLst>
        </c:ser>
        <c:dLbls>
          <c:showLegendKey val="0"/>
          <c:showVal val="0"/>
          <c:showCatName val="0"/>
          <c:showSerName val="0"/>
          <c:showPercent val="0"/>
          <c:showBubbleSize val="0"/>
        </c:dLbls>
        <c:gapWidth val="219"/>
        <c:overlap val="-27"/>
        <c:axId val="421197903"/>
        <c:axId val="421198319"/>
      </c:barChart>
      <c:catAx>
        <c:axId val="421197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198319"/>
        <c:crosses val="autoZero"/>
        <c:auto val="1"/>
        <c:lblAlgn val="ctr"/>
        <c:lblOffset val="100"/>
        <c:noMultiLvlLbl val="0"/>
      </c:catAx>
      <c:valAx>
        <c:axId val="4211983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1979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Arial" panose="020B0604020202020204" pitchFamily="34" charset="0"/>
                <a:cs typeface="Arial" panose="020B0604020202020204" pitchFamily="34" charset="0"/>
              </a:defRPr>
            </a:pPr>
            <a:r>
              <a:rPr lang="en-GB"/>
              <a:t>% PALS concerns closed in 5 working days </a:t>
            </a:r>
          </a:p>
        </c:rich>
      </c:tx>
      <c:layout/>
      <c:overlay val="0"/>
    </c:title>
    <c:autoTitleDeleted val="0"/>
    <c:plotArea>
      <c:layout>
        <c:manualLayout>
          <c:layoutTarget val="inner"/>
          <c:xMode val="edge"/>
          <c:yMode val="edge"/>
          <c:x val="3.7242270531400966E-2"/>
          <c:y val="7.3000492691739208E-2"/>
          <c:w val="0.94895338164251208"/>
          <c:h val="0.74975718732832819"/>
        </c:manualLayout>
      </c:layout>
      <c:lineChart>
        <c:grouping val="standard"/>
        <c:varyColors val="0"/>
        <c:ser>
          <c:idx val="0"/>
          <c:order val="0"/>
          <c:tx>
            <c:strRef>
              <c:f>'chart template'!$B$1</c:f>
              <c:strCache>
                <c:ptCount val="1"/>
                <c:pt idx="0">
                  <c:v>Values</c:v>
                </c:pt>
              </c:strCache>
            </c:strRef>
          </c:tx>
          <c:spPr>
            <a:ln w="15875">
              <a:solidFill>
                <a:schemeClr val="tx1"/>
              </a:solidFill>
            </a:ln>
          </c:spPr>
          <c:marker>
            <c:symbol val="diamond"/>
            <c:size val="3"/>
            <c:spPr>
              <a:solidFill>
                <a:schemeClr val="tx1"/>
              </a:solidFill>
              <a:ln>
                <a:noFill/>
              </a:ln>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'chart template'!$A$59:$A$82</c:f>
              <c:numCache>
                <c:formatCode>mmm\-yy</c:formatCode>
                <c:ptCount val="24"/>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pt idx="12">
                  <c:v>45017</c:v>
                </c:pt>
                <c:pt idx="13">
                  <c:v>45047</c:v>
                </c:pt>
                <c:pt idx="14">
                  <c:v>45078</c:v>
                </c:pt>
                <c:pt idx="15">
                  <c:v>45108</c:v>
                </c:pt>
                <c:pt idx="16">
                  <c:v>45139</c:v>
                </c:pt>
                <c:pt idx="17">
                  <c:v>45170</c:v>
                </c:pt>
                <c:pt idx="18">
                  <c:v>45200</c:v>
                </c:pt>
                <c:pt idx="19">
                  <c:v>45231</c:v>
                </c:pt>
                <c:pt idx="20">
                  <c:v>45261</c:v>
                </c:pt>
                <c:pt idx="21">
                  <c:v>45292</c:v>
                </c:pt>
                <c:pt idx="22">
                  <c:v>45323</c:v>
                </c:pt>
                <c:pt idx="23">
                  <c:v>45352</c:v>
                </c:pt>
              </c:numCache>
            </c:numRef>
          </c:cat>
          <c:val>
            <c:numRef>
              <c:f>'chart template'!$B$59:$B$82</c:f>
              <c:numCache>
                <c:formatCode>General</c:formatCode>
                <c:ptCount val="24"/>
                <c:pt idx="0">
                  <c:v>89</c:v>
                </c:pt>
                <c:pt idx="1">
                  <c:v>93</c:v>
                </c:pt>
                <c:pt idx="2">
                  <c:v>90</c:v>
                </c:pt>
                <c:pt idx="3">
                  <c:v>96</c:v>
                </c:pt>
                <c:pt idx="4">
                  <c:v>96</c:v>
                </c:pt>
                <c:pt idx="5">
                  <c:v>93</c:v>
                </c:pt>
                <c:pt idx="6">
                  <c:v>97</c:v>
                </c:pt>
                <c:pt idx="7">
                  <c:v>97</c:v>
                </c:pt>
                <c:pt idx="8">
                  <c:v>97</c:v>
                </c:pt>
                <c:pt idx="9">
                  <c:v>94</c:v>
                </c:pt>
                <c:pt idx="10">
                  <c:v>98</c:v>
                </c:pt>
                <c:pt idx="11">
                  <c:v>97</c:v>
                </c:pt>
                <c:pt idx="12">
                  <c:v>94</c:v>
                </c:pt>
                <c:pt idx="13">
                  <c:v>95</c:v>
                </c:pt>
                <c:pt idx="14">
                  <c:v>93</c:v>
                </c:pt>
                <c:pt idx="15">
                  <c:v>97</c:v>
                </c:pt>
                <c:pt idx="16">
                  <c:v>93</c:v>
                </c:pt>
                <c:pt idx="17">
                  <c:v>97</c:v>
                </c:pt>
                <c:pt idx="18">
                  <c:v>96</c:v>
                </c:pt>
                <c:pt idx="19">
                  <c:v>93</c:v>
                </c:pt>
                <c:pt idx="20">
                  <c:v>90</c:v>
                </c:pt>
                <c:pt idx="21">
                  <c:v>91</c:v>
                </c:pt>
                <c:pt idx="22">
                  <c:v>86</c:v>
                </c:pt>
                <c:pt idx="23">
                  <c:v>84</c:v>
                </c:pt>
              </c:numCache>
            </c:numRef>
          </c:val>
          <c:smooth val="0"/>
          <c:extLst>
            <c:ext xmlns:c16="http://schemas.microsoft.com/office/drawing/2014/chart" uri="{C3380CC4-5D6E-409C-BE32-E72D297353CC}">
              <c16:uniqueId val="{00000000-6CC4-4D10-ACF3-5E4CA2E125DD}"/>
            </c:ext>
          </c:extLst>
        </c:ser>
        <c:ser>
          <c:idx val="1"/>
          <c:order val="1"/>
          <c:tx>
            <c:strRef>
              <c:f>'chart template'!$C$1</c:f>
              <c:strCache>
                <c:ptCount val="1"/>
                <c:pt idx="0">
                  <c:v>Average</c:v>
                </c:pt>
              </c:strCache>
            </c:strRef>
          </c:tx>
          <c:spPr>
            <a:ln w="25400">
              <a:solidFill>
                <a:srgbClr val="FF0000"/>
              </a:solidFill>
            </a:ln>
          </c:spPr>
          <c:marker>
            <c:symbol val="none"/>
          </c:marker>
          <c:cat>
            <c:numRef>
              <c:f>'chart template'!$A$59:$A$82</c:f>
              <c:numCache>
                <c:formatCode>mmm\-yy</c:formatCode>
                <c:ptCount val="24"/>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pt idx="12">
                  <c:v>45017</c:v>
                </c:pt>
                <c:pt idx="13">
                  <c:v>45047</c:v>
                </c:pt>
                <c:pt idx="14">
                  <c:v>45078</c:v>
                </c:pt>
                <c:pt idx="15">
                  <c:v>45108</c:v>
                </c:pt>
                <c:pt idx="16">
                  <c:v>45139</c:v>
                </c:pt>
                <c:pt idx="17">
                  <c:v>45170</c:v>
                </c:pt>
                <c:pt idx="18">
                  <c:v>45200</c:v>
                </c:pt>
                <c:pt idx="19">
                  <c:v>45231</c:v>
                </c:pt>
                <c:pt idx="20">
                  <c:v>45261</c:v>
                </c:pt>
                <c:pt idx="21">
                  <c:v>45292</c:v>
                </c:pt>
                <c:pt idx="22">
                  <c:v>45323</c:v>
                </c:pt>
                <c:pt idx="23">
                  <c:v>45352</c:v>
                </c:pt>
              </c:numCache>
            </c:numRef>
          </c:cat>
          <c:val>
            <c:numRef>
              <c:f>'chart template'!$C$59:$C$82</c:f>
              <c:numCache>
                <c:formatCode>General</c:formatCode>
                <c:ptCount val="24"/>
                <c:pt idx="0">
                  <c:v>84.8</c:v>
                </c:pt>
                <c:pt idx="1">
                  <c:v>84.8</c:v>
                </c:pt>
                <c:pt idx="2">
                  <c:v>84.8</c:v>
                </c:pt>
                <c:pt idx="3">
                  <c:v>84.8</c:v>
                </c:pt>
                <c:pt idx="4">
                  <c:v>84.8</c:v>
                </c:pt>
                <c:pt idx="5">
                  <c:v>84.8</c:v>
                </c:pt>
                <c:pt idx="6">
                  <c:v>84.8</c:v>
                </c:pt>
                <c:pt idx="7">
                  <c:v>84.8</c:v>
                </c:pt>
                <c:pt idx="8">
                  <c:v>84.8</c:v>
                </c:pt>
                <c:pt idx="9">
                  <c:v>84.8</c:v>
                </c:pt>
                <c:pt idx="10">
                  <c:v>84.8</c:v>
                </c:pt>
                <c:pt idx="11">
                  <c:v>84.8</c:v>
                </c:pt>
                <c:pt idx="12">
                  <c:v>84.8</c:v>
                </c:pt>
                <c:pt idx="13">
                  <c:v>84.8</c:v>
                </c:pt>
                <c:pt idx="14">
                  <c:v>84.8</c:v>
                </c:pt>
                <c:pt idx="15">
                  <c:v>84.8</c:v>
                </c:pt>
                <c:pt idx="16">
                  <c:v>84.8</c:v>
                </c:pt>
                <c:pt idx="17">
                  <c:v>84.8</c:v>
                </c:pt>
                <c:pt idx="18">
                  <c:v>84.8</c:v>
                </c:pt>
                <c:pt idx="19">
                  <c:v>84.8</c:v>
                </c:pt>
                <c:pt idx="20">
                  <c:v>84.8</c:v>
                </c:pt>
                <c:pt idx="21">
                  <c:v>84.8</c:v>
                </c:pt>
                <c:pt idx="22">
                  <c:v>84.8</c:v>
                </c:pt>
                <c:pt idx="23">
                  <c:v>84.8</c:v>
                </c:pt>
              </c:numCache>
            </c:numRef>
          </c:val>
          <c:smooth val="0"/>
          <c:extLst>
            <c:ext xmlns:c16="http://schemas.microsoft.com/office/drawing/2014/chart" uri="{C3380CC4-5D6E-409C-BE32-E72D297353CC}">
              <c16:uniqueId val="{00000001-6CC4-4D10-ACF3-5E4CA2E125DD}"/>
            </c:ext>
          </c:extLst>
        </c:ser>
        <c:ser>
          <c:idx val="2"/>
          <c:order val="2"/>
          <c:tx>
            <c:strRef>
              <c:f>'chart template'!$D$1</c:f>
              <c:strCache>
                <c:ptCount val="1"/>
                <c:pt idx="0">
                  <c:v>Upper limit</c:v>
                </c:pt>
              </c:strCache>
            </c:strRef>
          </c:tx>
          <c:spPr>
            <a:ln w="25400">
              <a:solidFill>
                <a:srgbClr val="0070C0"/>
              </a:solidFill>
            </a:ln>
          </c:spPr>
          <c:marker>
            <c:symbol val="none"/>
          </c:marker>
          <c:cat>
            <c:numRef>
              <c:f>'chart template'!$A$59:$A$82</c:f>
              <c:numCache>
                <c:formatCode>mmm\-yy</c:formatCode>
                <c:ptCount val="24"/>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pt idx="12">
                  <c:v>45017</c:v>
                </c:pt>
                <c:pt idx="13">
                  <c:v>45047</c:v>
                </c:pt>
                <c:pt idx="14">
                  <c:v>45078</c:v>
                </c:pt>
                <c:pt idx="15">
                  <c:v>45108</c:v>
                </c:pt>
                <c:pt idx="16">
                  <c:v>45139</c:v>
                </c:pt>
                <c:pt idx="17">
                  <c:v>45170</c:v>
                </c:pt>
                <c:pt idx="18">
                  <c:v>45200</c:v>
                </c:pt>
                <c:pt idx="19">
                  <c:v>45231</c:v>
                </c:pt>
                <c:pt idx="20">
                  <c:v>45261</c:v>
                </c:pt>
                <c:pt idx="21">
                  <c:v>45292</c:v>
                </c:pt>
                <c:pt idx="22">
                  <c:v>45323</c:v>
                </c:pt>
                <c:pt idx="23">
                  <c:v>45352</c:v>
                </c:pt>
              </c:numCache>
            </c:numRef>
          </c:cat>
          <c:val>
            <c:numRef>
              <c:f>'chart template'!$D$59:$D$82</c:f>
              <c:numCache>
                <c:formatCode>General</c:formatCode>
                <c:ptCount val="24"/>
                <c:pt idx="0">
                  <c:v>93.962222222222223</c:v>
                </c:pt>
                <c:pt idx="1">
                  <c:v>93.962222222222223</c:v>
                </c:pt>
                <c:pt idx="2">
                  <c:v>93.962222222222223</c:v>
                </c:pt>
                <c:pt idx="3">
                  <c:v>93.962222222222223</c:v>
                </c:pt>
                <c:pt idx="4">
                  <c:v>93.962222222222223</c:v>
                </c:pt>
                <c:pt idx="5">
                  <c:v>93.962222222222223</c:v>
                </c:pt>
                <c:pt idx="6">
                  <c:v>93.962222222222223</c:v>
                </c:pt>
                <c:pt idx="7">
                  <c:v>93.962222222222223</c:v>
                </c:pt>
                <c:pt idx="8">
                  <c:v>93.962222222222223</c:v>
                </c:pt>
                <c:pt idx="9">
                  <c:v>93.962222222222223</c:v>
                </c:pt>
                <c:pt idx="10">
                  <c:v>93.962222222222223</c:v>
                </c:pt>
                <c:pt idx="11">
                  <c:v>93.962222222222223</c:v>
                </c:pt>
                <c:pt idx="12">
                  <c:v>93.962222222222223</c:v>
                </c:pt>
                <c:pt idx="13">
                  <c:v>93.962222222222223</c:v>
                </c:pt>
                <c:pt idx="14">
                  <c:v>93.962222222222223</c:v>
                </c:pt>
                <c:pt idx="15">
                  <c:v>93.962222222222223</c:v>
                </c:pt>
                <c:pt idx="16">
                  <c:v>93.962222222222223</c:v>
                </c:pt>
                <c:pt idx="17">
                  <c:v>93.962222222222223</c:v>
                </c:pt>
                <c:pt idx="18">
                  <c:v>93.962222222222223</c:v>
                </c:pt>
                <c:pt idx="19">
                  <c:v>93.962222222222223</c:v>
                </c:pt>
                <c:pt idx="20">
                  <c:v>93.962222222222223</c:v>
                </c:pt>
                <c:pt idx="21">
                  <c:v>93.962222222222223</c:v>
                </c:pt>
                <c:pt idx="22">
                  <c:v>93.962222222222223</c:v>
                </c:pt>
                <c:pt idx="23">
                  <c:v>93.962222222222223</c:v>
                </c:pt>
              </c:numCache>
            </c:numRef>
          </c:val>
          <c:smooth val="0"/>
          <c:extLst>
            <c:ext xmlns:c16="http://schemas.microsoft.com/office/drawing/2014/chart" uri="{C3380CC4-5D6E-409C-BE32-E72D297353CC}">
              <c16:uniqueId val="{00000002-6CC4-4D10-ACF3-5E4CA2E125DD}"/>
            </c:ext>
          </c:extLst>
        </c:ser>
        <c:ser>
          <c:idx val="3"/>
          <c:order val="3"/>
          <c:tx>
            <c:strRef>
              <c:f>'chart template'!$E$1</c:f>
              <c:strCache>
                <c:ptCount val="1"/>
                <c:pt idx="0">
                  <c:v>Lower limit</c:v>
                </c:pt>
              </c:strCache>
            </c:strRef>
          </c:tx>
          <c:spPr>
            <a:ln w="25400">
              <a:solidFill>
                <a:srgbClr val="00B050"/>
              </a:solidFill>
            </a:ln>
          </c:spPr>
          <c:marker>
            <c:symbol val="none"/>
          </c:marker>
          <c:cat>
            <c:numRef>
              <c:f>'chart template'!$A$59:$A$82</c:f>
              <c:numCache>
                <c:formatCode>mmm\-yy</c:formatCode>
                <c:ptCount val="24"/>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pt idx="12">
                  <c:v>45017</c:v>
                </c:pt>
                <c:pt idx="13">
                  <c:v>45047</c:v>
                </c:pt>
                <c:pt idx="14">
                  <c:v>45078</c:v>
                </c:pt>
                <c:pt idx="15">
                  <c:v>45108</c:v>
                </c:pt>
                <c:pt idx="16">
                  <c:v>45139</c:v>
                </c:pt>
                <c:pt idx="17">
                  <c:v>45170</c:v>
                </c:pt>
                <c:pt idx="18">
                  <c:v>45200</c:v>
                </c:pt>
                <c:pt idx="19">
                  <c:v>45231</c:v>
                </c:pt>
                <c:pt idx="20">
                  <c:v>45261</c:v>
                </c:pt>
                <c:pt idx="21">
                  <c:v>45292</c:v>
                </c:pt>
                <c:pt idx="22">
                  <c:v>45323</c:v>
                </c:pt>
                <c:pt idx="23">
                  <c:v>45352</c:v>
                </c:pt>
              </c:numCache>
            </c:numRef>
          </c:cat>
          <c:val>
            <c:numRef>
              <c:f>'chart template'!$E$59:$E$82</c:f>
              <c:numCache>
                <c:formatCode>General</c:formatCode>
                <c:ptCount val="24"/>
                <c:pt idx="0">
                  <c:v>74.529444444444437</c:v>
                </c:pt>
                <c:pt idx="1">
                  <c:v>74.529444444444437</c:v>
                </c:pt>
                <c:pt idx="2">
                  <c:v>74.529444444444437</c:v>
                </c:pt>
                <c:pt idx="3">
                  <c:v>74.529444444444437</c:v>
                </c:pt>
                <c:pt idx="4">
                  <c:v>74.529444444444437</c:v>
                </c:pt>
                <c:pt idx="5">
                  <c:v>74.529444444444437</c:v>
                </c:pt>
                <c:pt idx="6">
                  <c:v>74.529444444444437</c:v>
                </c:pt>
                <c:pt idx="7">
                  <c:v>74.529444444444437</c:v>
                </c:pt>
                <c:pt idx="8">
                  <c:v>74.529444444444437</c:v>
                </c:pt>
                <c:pt idx="9">
                  <c:v>74.529444444444437</c:v>
                </c:pt>
                <c:pt idx="10">
                  <c:v>74.529444444444437</c:v>
                </c:pt>
                <c:pt idx="11">
                  <c:v>74.529444444444437</c:v>
                </c:pt>
                <c:pt idx="12">
                  <c:v>74.529444444444437</c:v>
                </c:pt>
                <c:pt idx="13">
                  <c:v>74.529444444444437</c:v>
                </c:pt>
                <c:pt idx="14">
                  <c:v>74.529444444444437</c:v>
                </c:pt>
                <c:pt idx="15">
                  <c:v>74.529444444444437</c:v>
                </c:pt>
                <c:pt idx="16">
                  <c:v>74.529444444444437</c:v>
                </c:pt>
                <c:pt idx="17">
                  <c:v>74.529444444444437</c:v>
                </c:pt>
                <c:pt idx="18">
                  <c:v>74.529444444444437</c:v>
                </c:pt>
                <c:pt idx="19">
                  <c:v>74.529444444444437</c:v>
                </c:pt>
                <c:pt idx="20">
                  <c:v>74.529444444444437</c:v>
                </c:pt>
                <c:pt idx="21">
                  <c:v>74.529444444444437</c:v>
                </c:pt>
                <c:pt idx="22">
                  <c:v>74.529444444444437</c:v>
                </c:pt>
                <c:pt idx="23">
                  <c:v>74.529444444444437</c:v>
                </c:pt>
              </c:numCache>
            </c:numRef>
          </c:val>
          <c:smooth val="0"/>
          <c:extLst>
            <c:ext xmlns:c16="http://schemas.microsoft.com/office/drawing/2014/chart" uri="{C3380CC4-5D6E-409C-BE32-E72D297353CC}">
              <c16:uniqueId val="{00000003-6CC4-4D10-ACF3-5E4CA2E125DD}"/>
            </c:ext>
          </c:extLst>
        </c:ser>
        <c:dLbls>
          <c:showLegendKey val="0"/>
          <c:showVal val="0"/>
          <c:showCatName val="0"/>
          <c:showSerName val="0"/>
          <c:showPercent val="0"/>
          <c:showBubbleSize val="0"/>
        </c:dLbls>
        <c:marker val="1"/>
        <c:smooth val="0"/>
        <c:axId val="180377088"/>
        <c:axId val="99334912"/>
      </c:lineChart>
      <c:catAx>
        <c:axId val="180377088"/>
        <c:scaling>
          <c:orientation val="minMax"/>
        </c:scaling>
        <c:delete val="0"/>
        <c:axPos val="b"/>
        <c:numFmt formatCode="dd/mm/yy" sourceLinked="0"/>
        <c:majorTickMark val="out"/>
        <c:minorTickMark val="none"/>
        <c:tickLblPos val="nextTo"/>
        <c:spPr>
          <a:ln>
            <a:noFill/>
          </a:ln>
        </c:spPr>
        <c:txPr>
          <a:bodyPr rot="-5400000" vert="horz"/>
          <a:lstStyle/>
          <a:p>
            <a:pPr>
              <a:defRPr sz="800">
                <a:latin typeface="Arial" panose="020B0604020202020204" pitchFamily="34" charset="0"/>
                <a:cs typeface="Arial" panose="020B0604020202020204" pitchFamily="34" charset="0"/>
              </a:defRPr>
            </a:pPr>
            <a:endParaRPr lang="en-US"/>
          </a:p>
        </c:txPr>
        <c:crossAx val="99334912"/>
        <c:crosses val="autoZero"/>
        <c:auto val="0"/>
        <c:lblAlgn val="ctr"/>
        <c:lblOffset val="100"/>
        <c:tickLblSkip val="1"/>
        <c:noMultiLvlLbl val="1"/>
      </c:catAx>
      <c:valAx>
        <c:axId val="99334912"/>
        <c:scaling>
          <c:orientation val="minMax"/>
          <c:min val="0"/>
        </c:scaling>
        <c:delete val="0"/>
        <c:axPos val="l"/>
        <c:majorGridlines>
          <c:spPr>
            <a:ln w="6350">
              <a:solidFill>
                <a:schemeClr val="bg1">
                  <a:lumMod val="75000"/>
                </a:schemeClr>
              </a:solidFill>
            </a:ln>
          </c:spPr>
        </c:majorGridlines>
        <c:numFmt formatCode="General" sourceLinked="1"/>
        <c:majorTickMark val="out"/>
        <c:minorTickMark val="none"/>
        <c:tickLblPos val="nextTo"/>
        <c:spPr>
          <a:ln>
            <a:noFill/>
          </a:ln>
        </c:spPr>
        <c:txPr>
          <a:bodyPr/>
          <a:lstStyle/>
          <a:p>
            <a:pPr>
              <a:defRPr sz="800">
                <a:latin typeface="Arial" panose="020B0604020202020204" pitchFamily="34" charset="0"/>
                <a:cs typeface="Arial" panose="020B0604020202020204" pitchFamily="34" charset="0"/>
              </a:defRPr>
            </a:pPr>
            <a:endParaRPr lang="en-US"/>
          </a:p>
        </c:txPr>
        <c:crossAx val="180377088"/>
        <c:crosses val="autoZero"/>
        <c:crossBetween val="between"/>
        <c:majorUnit val="10"/>
      </c:valAx>
    </c:plotArea>
    <c:legend>
      <c:legendPos val="b"/>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w="6350">
      <a:solidFill>
        <a:sysClr val="window" lastClr="FFFFFF">
          <a:lumMod val="75000"/>
        </a:sysClr>
      </a:solid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Arial" panose="020B0604020202020204" pitchFamily="34" charset="0"/>
                <a:cs typeface="Arial" panose="020B0604020202020204" pitchFamily="34" charset="0"/>
              </a:defRPr>
            </a:pPr>
            <a:r>
              <a:rPr lang="en-GB"/>
              <a:t>Percentage of PALS concerns de-escalated</a:t>
            </a:r>
            <a:r>
              <a:rPr lang="en-GB" baseline="0"/>
              <a:t> by month</a:t>
            </a:r>
            <a:endParaRPr lang="en-GB"/>
          </a:p>
        </c:rich>
      </c:tx>
      <c:layout/>
      <c:overlay val="0"/>
    </c:title>
    <c:autoTitleDeleted val="0"/>
    <c:plotArea>
      <c:layout/>
      <c:lineChart>
        <c:grouping val="standard"/>
        <c:varyColors val="0"/>
        <c:ser>
          <c:idx val="0"/>
          <c:order val="0"/>
          <c:tx>
            <c:strRef>
              <c:f>'chart template'!$B$1</c:f>
              <c:strCache>
                <c:ptCount val="1"/>
                <c:pt idx="0">
                  <c:v>Values</c:v>
                </c:pt>
              </c:strCache>
            </c:strRef>
          </c:tx>
          <c:spPr>
            <a:ln w="15875">
              <a:solidFill>
                <a:schemeClr val="tx1"/>
              </a:solidFill>
            </a:ln>
          </c:spPr>
          <c:marker>
            <c:symbol val="diamond"/>
            <c:size val="3"/>
            <c:spPr>
              <a:solidFill>
                <a:schemeClr val="tx1"/>
              </a:solidFill>
              <a:ln>
                <a:noFill/>
              </a:ln>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'chart template'!$A$24:$A$47</c:f>
              <c:numCache>
                <c:formatCode>mmm\-yy</c:formatCode>
                <c:ptCount val="24"/>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pt idx="12">
                  <c:v>45017</c:v>
                </c:pt>
                <c:pt idx="13">
                  <c:v>45047</c:v>
                </c:pt>
                <c:pt idx="14">
                  <c:v>45078</c:v>
                </c:pt>
                <c:pt idx="15">
                  <c:v>45108</c:v>
                </c:pt>
                <c:pt idx="16">
                  <c:v>45139</c:v>
                </c:pt>
                <c:pt idx="17">
                  <c:v>45170</c:v>
                </c:pt>
                <c:pt idx="18">
                  <c:v>45200</c:v>
                </c:pt>
                <c:pt idx="19">
                  <c:v>45231</c:v>
                </c:pt>
                <c:pt idx="20">
                  <c:v>45261</c:v>
                </c:pt>
                <c:pt idx="21">
                  <c:v>45292</c:v>
                </c:pt>
                <c:pt idx="22">
                  <c:v>45323</c:v>
                </c:pt>
                <c:pt idx="23">
                  <c:v>45352</c:v>
                </c:pt>
              </c:numCache>
            </c:numRef>
          </c:cat>
          <c:val>
            <c:numRef>
              <c:f>'chart template'!$B$24:$B$47</c:f>
              <c:numCache>
                <c:formatCode>General</c:formatCode>
                <c:ptCount val="24"/>
                <c:pt idx="0">
                  <c:v>55</c:v>
                </c:pt>
                <c:pt idx="1">
                  <c:v>49</c:v>
                </c:pt>
                <c:pt idx="2">
                  <c:v>51</c:v>
                </c:pt>
                <c:pt idx="3">
                  <c:v>70</c:v>
                </c:pt>
                <c:pt idx="4">
                  <c:v>84</c:v>
                </c:pt>
                <c:pt idx="5">
                  <c:v>77</c:v>
                </c:pt>
                <c:pt idx="6">
                  <c:v>89</c:v>
                </c:pt>
                <c:pt idx="7">
                  <c:v>84</c:v>
                </c:pt>
                <c:pt idx="8">
                  <c:v>93</c:v>
                </c:pt>
                <c:pt idx="9">
                  <c:v>67</c:v>
                </c:pt>
                <c:pt idx="10">
                  <c:v>88</c:v>
                </c:pt>
                <c:pt idx="11">
                  <c:v>81</c:v>
                </c:pt>
                <c:pt idx="12">
                  <c:v>86</c:v>
                </c:pt>
                <c:pt idx="13">
                  <c:v>80</c:v>
                </c:pt>
                <c:pt idx="14">
                  <c:v>78</c:v>
                </c:pt>
                <c:pt idx="15">
                  <c:v>83</c:v>
                </c:pt>
                <c:pt idx="16">
                  <c:v>86</c:v>
                </c:pt>
                <c:pt idx="17">
                  <c:v>86</c:v>
                </c:pt>
                <c:pt idx="18">
                  <c:v>86</c:v>
                </c:pt>
                <c:pt idx="19">
                  <c:v>76</c:v>
                </c:pt>
                <c:pt idx="20">
                  <c:v>76</c:v>
                </c:pt>
                <c:pt idx="21">
                  <c:v>79</c:v>
                </c:pt>
                <c:pt idx="22">
                  <c:v>71</c:v>
                </c:pt>
                <c:pt idx="23">
                  <c:v>59</c:v>
                </c:pt>
              </c:numCache>
            </c:numRef>
          </c:val>
          <c:smooth val="0"/>
          <c:extLst>
            <c:ext xmlns:c16="http://schemas.microsoft.com/office/drawing/2014/chart" uri="{C3380CC4-5D6E-409C-BE32-E72D297353CC}">
              <c16:uniqueId val="{00000000-D682-4D71-ABCF-7800508F2588}"/>
            </c:ext>
          </c:extLst>
        </c:ser>
        <c:ser>
          <c:idx val="1"/>
          <c:order val="1"/>
          <c:tx>
            <c:strRef>
              <c:f>'chart template'!$C$1</c:f>
              <c:strCache>
                <c:ptCount val="1"/>
                <c:pt idx="0">
                  <c:v>Average</c:v>
                </c:pt>
              </c:strCache>
            </c:strRef>
          </c:tx>
          <c:spPr>
            <a:ln w="25400">
              <a:solidFill>
                <a:srgbClr val="FF0000"/>
              </a:solidFill>
            </a:ln>
          </c:spPr>
          <c:marker>
            <c:symbol val="none"/>
          </c:marker>
          <c:cat>
            <c:numRef>
              <c:f>'chart template'!$A$24:$A$47</c:f>
              <c:numCache>
                <c:formatCode>mmm\-yy</c:formatCode>
                <c:ptCount val="24"/>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pt idx="12">
                  <c:v>45017</c:v>
                </c:pt>
                <c:pt idx="13">
                  <c:v>45047</c:v>
                </c:pt>
                <c:pt idx="14">
                  <c:v>45078</c:v>
                </c:pt>
                <c:pt idx="15">
                  <c:v>45108</c:v>
                </c:pt>
                <c:pt idx="16">
                  <c:v>45139</c:v>
                </c:pt>
                <c:pt idx="17">
                  <c:v>45170</c:v>
                </c:pt>
                <c:pt idx="18">
                  <c:v>45200</c:v>
                </c:pt>
                <c:pt idx="19">
                  <c:v>45231</c:v>
                </c:pt>
                <c:pt idx="20">
                  <c:v>45261</c:v>
                </c:pt>
                <c:pt idx="21">
                  <c:v>45292</c:v>
                </c:pt>
                <c:pt idx="22">
                  <c:v>45323</c:v>
                </c:pt>
                <c:pt idx="23">
                  <c:v>45352</c:v>
                </c:pt>
              </c:numCache>
            </c:numRef>
          </c:cat>
          <c:val>
            <c:numRef>
              <c:f>'chart template'!$C$24:$C$47</c:f>
              <c:numCache>
                <c:formatCode>General</c:formatCode>
                <c:ptCount val="24"/>
                <c:pt idx="0">
                  <c:v>71.195652173913047</c:v>
                </c:pt>
                <c:pt idx="1">
                  <c:v>71.195652173913047</c:v>
                </c:pt>
                <c:pt idx="2">
                  <c:v>71.195652173913047</c:v>
                </c:pt>
                <c:pt idx="3">
                  <c:v>71.195652173913047</c:v>
                </c:pt>
                <c:pt idx="4">
                  <c:v>71.195652173913047</c:v>
                </c:pt>
                <c:pt idx="5">
                  <c:v>71.195652173913047</c:v>
                </c:pt>
                <c:pt idx="6">
                  <c:v>71.195652173913047</c:v>
                </c:pt>
                <c:pt idx="7">
                  <c:v>71.195652173913047</c:v>
                </c:pt>
                <c:pt idx="8">
                  <c:v>71.195652173913047</c:v>
                </c:pt>
                <c:pt idx="9">
                  <c:v>71.195652173913047</c:v>
                </c:pt>
                <c:pt idx="10">
                  <c:v>71.195652173913047</c:v>
                </c:pt>
                <c:pt idx="11">
                  <c:v>71.195652173913047</c:v>
                </c:pt>
                <c:pt idx="12">
                  <c:v>71.195652173913047</c:v>
                </c:pt>
                <c:pt idx="13">
                  <c:v>71.195652173913047</c:v>
                </c:pt>
                <c:pt idx="14">
                  <c:v>71.195652173913047</c:v>
                </c:pt>
                <c:pt idx="15">
                  <c:v>71.195652173913047</c:v>
                </c:pt>
                <c:pt idx="16">
                  <c:v>71.195652173913047</c:v>
                </c:pt>
                <c:pt idx="17">
                  <c:v>71.195652173913047</c:v>
                </c:pt>
                <c:pt idx="18">
                  <c:v>71.195652173913047</c:v>
                </c:pt>
                <c:pt idx="19">
                  <c:v>71.195652173913047</c:v>
                </c:pt>
                <c:pt idx="20">
                  <c:v>71.195652173913047</c:v>
                </c:pt>
                <c:pt idx="21">
                  <c:v>71.195652173913047</c:v>
                </c:pt>
                <c:pt idx="22">
                  <c:v>71.195652173913047</c:v>
                </c:pt>
                <c:pt idx="23">
                  <c:v>71.195652173913047</c:v>
                </c:pt>
              </c:numCache>
            </c:numRef>
          </c:val>
          <c:smooth val="0"/>
          <c:extLst>
            <c:ext xmlns:c16="http://schemas.microsoft.com/office/drawing/2014/chart" uri="{C3380CC4-5D6E-409C-BE32-E72D297353CC}">
              <c16:uniqueId val="{00000001-D682-4D71-ABCF-7800508F2588}"/>
            </c:ext>
          </c:extLst>
        </c:ser>
        <c:ser>
          <c:idx val="2"/>
          <c:order val="2"/>
          <c:tx>
            <c:strRef>
              <c:f>'chart template'!$D$1</c:f>
              <c:strCache>
                <c:ptCount val="1"/>
                <c:pt idx="0">
                  <c:v>Upper limit</c:v>
                </c:pt>
              </c:strCache>
            </c:strRef>
          </c:tx>
          <c:spPr>
            <a:ln w="25400">
              <a:solidFill>
                <a:srgbClr val="0070C0"/>
              </a:solidFill>
            </a:ln>
          </c:spPr>
          <c:marker>
            <c:symbol val="none"/>
          </c:marker>
          <c:cat>
            <c:numRef>
              <c:f>'chart template'!$A$24:$A$47</c:f>
              <c:numCache>
                <c:formatCode>mmm\-yy</c:formatCode>
                <c:ptCount val="24"/>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pt idx="12">
                  <c:v>45017</c:v>
                </c:pt>
                <c:pt idx="13">
                  <c:v>45047</c:v>
                </c:pt>
                <c:pt idx="14">
                  <c:v>45078</c:v>
                </c:pt>
                <c:pt idx="15">
                  <c:v>45108</c:v>
                </c:pt>
                <c:pt idx="16">
                  <c:v>45139</c:v>
                </c:pt>
                <c:pt idx="17">
                  <c:v>45170</c:v>
                </c:pt>
                <c:pt idx="18">
                  <c:v>45200</c:v>
                </c:pt>
                <c:pt idx="19">
                  <c:v>45231</c:v>
                </c:pt>
                <c:pt idx="20">
                  <c:v>45261</c:v>
                </c:pt>
                <c:pt idx="21">
                  <c:v>45292</c:v>
                </c:pt>
                <c:pt idx="22">
                  <c:v>45323</c:v>
                </c:pt>
                <c:pt idx="23">
                  <c:v>45352</c:v>
                </c:pt>
              </c:numCache>
            </c:numRef>
          </c:cat>
          <c:val>
            <c:numRef>
              <c:f>'chart template'!$D$24:$D$47</c:f>
              <c:numCache>
                <c:formatCode>General</c:formatCode>
                <c:ptCount val="24"/>
                <c:pt idx="0">
                  <c:v>91.648096618357499</c:v>
                </c:pt>
                <c:pt idx="1">
                  <c:v>91.648096618357499</c:v>
                </c:pt>
                <c:pt idx="2">
                  <c:v>91.648096618357499</c:v>
                </c:pt>
                <c:pt idx="3">
                  <c:v>91.648096618357499</c:v>
                </c:pt>
                <c:pt idx="4">
                  <c:v>91.648096618357499</c:v>
                </c:pt>
                <c:pt idx="5">
                  <c:v>91.648096618357499</c:v>
                </c:pt>
                <c:pt idx="6">
                  <c:v>91.648096618357499</c:v>
                </c:pt>
                <c:pt idx="7">
                  <c:v>91.648096618357499</c:v>
                </c:pt>
                <c:pt idx="8">
                  <c:v>91.648096618357499</c:v>
                </c:pt>
                <c:pt idx="9">
                  <c:v>91.648096618357499</c:v>
                </c:pt>
                <c:pt idx="10">
                  <c:v>91.648096618357499</c:v>
                </c:pt>
                <c:pt idx="11">
                  <c:v>91.648096618357499</c:v>
                </c:pt>
                <c:pt idx="12">
                  <c:v>91.648096618357499</c:v>
                </c:pt>
                <c:pt idx="13">
                  <c:v>91.648096618357499</c:v>
                </c:pt>
                <c:pt idx="14">
                  <c:v>91.648096618357499</c:v>
                </c:pt>
                <c:pt idx="15">
                  <c:v>91.648096618357499</c:v>
                </c:pt>
                <c:pt idx="16">
                  <c:v>91.648096618357499</c:v>
                </c:pt>
                <c:pt idx="17">
                  <c:v>91.648096618357499</c:v>
                </c:pt>
                <c:pt idx="18">
                  <c:v>91.648096618357499</c:v>
                </c:pt>
                <c:pt idx="19">
                  <c:v>91.648096618357499</c:v>
                </c:pt>
                <c:pt idx="20">
                  <c:v>91.648096618357499</c:v>
                </c:pt>
                <c:pt idx="21">
                  <c:v>91.648096618357499</c:v>
                </c:pt>
                <c:pt idx="22">
                  <c:v>91.648096618357499</c:v>
                </c:pt>
                <c:pt idx="23">
                  <c:v>91.648096618357499</c:v>
                </c:pt>
              </c:numCache>
            </c:numRef>
          </c:val>
          <c:smooth val="0"/>
          <c:extLst>
            <c:ext xmlns:c16="http://schemas.microsoft.com/office/drawing/2014/chart" uri="{C3380CC4-5D6E-409C-BE32-E72D297353CC}">
              <c16:uniqueId val="{00000002-D682-4D71-ABCF-7800508F2588}"/>
            </c:ext>
          </c:extLst>
        </c:ser>
        <c:ser>
          <c:idx val="3"/>
          <c:order val="3"/>
          <c:tx>
            <c:strRef>
              <c:f>'chart template'!$E$1</c:f>
              <c:strCache>
                <c:ptCount val="1"/>
                <c:pt idx="0">
                  <c:v>Lower limit</c:v>
                </c:pt>
              </c:strCache>
            </c:strRef>
          </c:tx>
          <c:spPr>
            <a:ln w="25400">
              <a:solidFill>
                <a:srgbClr val="00B050"/>
              </a:solidFill>
            </a:ln>
          </c:spPr>
          <c:marker>
            <c:symbol val="none"/>
          </c:marker>
          <c:cat>
            <c:numRef>
              <c:f>'chart template'!$A$24:$A$47</c:f>
              <c:numCache>
                <c:formatCode>mmm\-yy</c:formatCode>
                <c:ptCount val="24"/>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pt idx="12">
                  <c:v>45017</c:v>
                </c:pt>
                <c:pt idx="13">
                  <c:v>45047</c:v>
                </c:pt>
                <c:pt idx="14">
                  <c:v>45078</c:v>
                </c:pt>
                <c:pt idx="15">
                  <c:v>45108</c:v>
                </c:pt>
                <c:pt idx="16">
                  <c:v>45139</c:v>
                </c:pt>
                <c:pt idx="17">
                  <c:v>45170</c:v>
                </c:pt>
                <c:pt idx="18">
                  <c:v>45200</c:v>
                </c:pt>
                <c:pt idx="19">
                  <c:v>45231</c:v>
                </c:pt>
                <c:pt idx="20">
                  <c:v>45261</c:v>
                </c:pt>
                <c:pt idx="21">
                  <c:v>45292</c:v>
                </c:pt>
                <c:pt idx="22">
                  <c:v>45323</c:v>
                </c:pt>
                <c:pt idx="23">
                  <c:v>45352</c:v>
                </c:pt>
              </c:numCache>
            </c:numRef>
          </c:cat>
          <c:val>
            <c:numRef>
              <c:f>'chart template'!$E$24:$E$47</c:f>
              <c:numCache>
                <c:formatCode>General</c:formatCode>
                <c:ptCount val="24"/>
                <c:pt idx="0">
                  <c:v>50.743207729468601</c:v>
                </c:pt>
                <c:pt idx="1">
                  <c:v>50.743207729468601</c:v>
                </c:pt>
                <c:pt idx="2">
                  <c:v>50.743207729468601</c:v>
                </c:pt>
                <c:pt idx="3">
                  <c:v>50.743207729468601</c:v>
                </c:pt>
                <c:pt idx="4">
                  <c:v>50.743207729468601</c:v>
                </c:pt>
                <c:pt idx="5">
                  <c:v>50.743207729468601</c:v>
                </c:pt>
                <c:pt idx="6">
                  <c:v>50.743207729468601</c:v>
                </c:pt>
                <c:pt idx="7">
                  <c:v>50.743207729468601</c:v>
                </c:pt>
                <c:pt idx="8">
                  <c:v>50.743207729468601</c:v>
                </c:pt>
                <c:pt idx="9">
                  <c:v>50.743207729468601</c:v>
                </c:pt>
                <c:pt idx="10">
                  <c:v>50.743207729468601</c:v>
                </c:pt>
                <c:pt idx="11">
                  <c:v>50.743207729468601</c:v>
                </c:pt>
                <c:pt idx="12">
                  <c:v>50.743207729468601</c:v>
                </c:pt>
                <c:pt idx="13">
                  <c:v>50.743207729468601</c:v>
                </c:pt>
                <c:pt idx="14">
                  <c:v>50.743207729468601</c:v>
                </c:pt>
                <c:pt idx="15">
                  <c:v>50.743207729468601</c:v>
                </c:pt>
                <c:pt idx="16">
                  <c:v>50.743207729468601</c:v>
                </c:pt>
                <c:pt idx="17">
                  <c:v>50.743207729468601</c:v>
                </c:pt>
                <c:pt idx="18">
                  <c:v>50.743207729468601</c:v>
                </c:pt>
                <c:pt idx="19">
                  <c:v>50.743207729468601</c:v>
                </c:pt>
                <c:pt idx="20">
                  <c:v>50.743207729468601</c:v>
                </c:pt>
                <c:pt idx="21">
                  <c:v>50.743207729468601</c:v>
                </c:pt>
                <c:pt idx="22">
                  <c:v>50.743207729468601</c:v>
                </c:pt>
                <c:pt idx="23">
                  <c:v>50.743207729468601</c:v>
                </c:pt>
              </c:numCache>
            </c:numRef>
          </c:val>
          <c:smooth val="0"/>
          <c:extLst>
            <c:ext xmlns:c16="http://schemas.microsoft.com/office/drawing/2014/chart" uri="{C3380CC4-5D6E-409C-BE32-E72D297353CC}">
              <c16:uniqueId val="{00000003-D682-4D71-ABCF-7800508F2588}"/>
            </c:ext>
          </c:extLst>
        </c:ser>
        <c:dLbls>
          <c:showLegendKey val="0"/>
          <c:showVal val="0"/>
          <c:showCatName val="0"/>
          <c:showSerName val="0"/>
          <c:showPercent val="0"/>
          <c:showBubbleSize val="0"/>
        </c:dLbls>
        <c:marker val="1"/>
        <c:smooth val="0"/>
        <c:axId val="82993920"/>
        <c:axId val="82995840"/>
      </c:lineChart>
      <c:catAx>
        <c:axId val="82993920"/>
        <c:scaling>
          <c:orientation val="minMax"/>
        </c:scaling>
        <c:delete val="0"/>
        <c:axPos val="b"/>
        <c:numFmt formatCode="dd/mm/yy" sourceLinked="0"/>
        <c:majorTickMark val="out"/>
        <c:minorTickMark val="none"/>
        <c:tickLblPos val="nextTo"/>
        <c:spPr>
          <a:ln>
            <a:noFill/>
          </a:ln>
        </c:spPr>
        <c:txPr>
          <a:bodyPr rot="-5400000" vert="horz"/>
          <a:lstStyle/>
          <a:p>
            <a:pPr>
              <a:defRPr sz="900">
                <a:latin typeface="Arial" panose="020B0604020202020204" pitchFamily="34" charset="0"/>
                <a:cs typeface="Arial" panose="020B0604020202020204" pitchFamily="34" charset="0"/>
              </a:defRPr>
            </a:pPr>
            <a:endParaRPr lang="en-US"/>
          </a:p>
        </c:txPr>
        <c:crossAx val="82995840"/>
        <c:crosses val="autoZero"/>
        <c:auto val="0"/>
        <c:lblAlgn val="ctr"/>
        <c:lblOffset val="100"/>
        <c:tickLblSkip val="1"/>
        <c:noMultiLvlLbl val="1"/>
      </c:catAx>
      <c:valAx>
        <c:axId val="82995840"/>
        <c:scaling>
          <c:orientation val="minMax"/>
          <c:min val="0"/>
        </c:scaling>
        <c:delete val="0"/>
        <c:axPos val="l"/>
        <c:majorGridlines>
          <c:spPr>
            <a:ln w="6350">
              <a:solidFill>
                <a:schemeClr val="bg1">
                  <a:lumMod val="75000"/>
                </a:schemeClr>
              </a:solidFill>
            </a:ln>
          </c:spPr>
        </c:majorGridlines>
        <c:numFmt formatCode="General" sourceLinked="1"/>
        <c:majorTickMark val="out"/>
        <c:minorTickMark val="none"/>
        <c:tickLblPos val="nextTo"/>
        <c:spPr>
          <a:ln>
            <a:noFill/>
          </a:ln>
        </c:spPr>
        <c:txPr>
          <a:bodyPr/>
          <a:lstStyle/>
          <a:p>
            <a:pPr>
              <a:defRPr sz="800">
                <a:latin typeface="Arial" panose="020B0604020202020204" pitchFamily="34" charset="0"/>
                <a:cs typeface="Arial" panose="020B0604020202020204" pitchFamily="34" charset="0"/>
              </a:defRPr>
            </a:pPr>
            <a:endParaRPr lang="en-US"/>
          </a:p>
        </c:txPr>
        <c:crossAx val="82993920"/>
        <c:crosses val="autoZero"/>
        <c:crossBetween val="between"/>
        <c:majorUnit val="10"/>
      </c:valAx>
    </c:plotArea>
    <c:legend>
      <c:legendPos val="b"/>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w="6350">
      <a:solidFill>
        <a:sysClr val="window" lastClr="FFFFFF">
          <a:lumMod val="75000"/>
        </a:sysClr>
      </a:solid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[compliments.xlsx]Sheet2!PivotTable1</c:name>
    <c:fmtId val="-1"/>
  </c:pivotSource>
  <c:chart>
    <c:title>
      <c:tx>
        <c:rich>
          <a:bodyPr/>
          <a:lstStyle/>
          <a:p>
            <a:pPr>
              <a:defRPr sz="1200"/>
            </a:pPr>
            <a:r>
              <a:rPr lang="en-GB" sz="1200"/>
              <a:t>Compliments</a:t>
            </a:r>
            <a:r>
              <a:rPr lang="en-GB" sz="1200" baseline="0"/>
              <a:t> received April 2023 - March 2024</a:t>
            </a:r>
          </a:p>
        </c:rich>
      </c:tx>
      <c:layout/>
      <c:overlay val="0"/>
    </c:title>
    <c:autoTitleDeleted val="0"/>
    <c:pivotFmts>
      <c:pivotFmt>
        <c:idx val="0"/>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2"/>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
        <c:marker>
          <c:symbol val="none"/>
        </c:marker>
      </c:pivotFmt>
      <c:pivotFmt>
        <c:idx val="16"/>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
        <c:marker>
          <c:symbol val="none"/>
        </c:marker>
      </c:pivotFmt>
      <c:pivotFmt>
        <c:idx val="19"/>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0"/>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1"/>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2"/>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3"/>
        <c:marker>
          <c:symbol val="none"/>
        </c:marker>
      </c:pivotFmt>
      <c:pivotFmt>
        <c:idx val="24"/>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5"/>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6"/>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7"/>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8"/>
        <c:marker>
          <c:symbol val="none"/>
        </c:marker>
      </c:pivotFmt>
      <c:pivotFmt>
        <c:idx val="39"/>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0"/>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1"/>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0"/>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1"/>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2"/>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3"/>
        <c:marker>
          <c:symbol val="none"/>
        </c:marker>
      </c:pivotFmt>
      <c:pivotFmt>
        <c:idx val="74"/>
        <c:marker>
          <c:symbol val="none"/>
        </c:marker>
      </c:pivotFmt>
      <c:pivotFmt>
        <c:idx val="75"/>
        <c:marker>
          <c:symbol val="none"/>
        </c:marker>
      </c:pivotFmt>
      <c:pivotFmt>
        <c:idx val="76"/>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7"/>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8"/>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9"/>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0"/>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1"/>
        <c:marker>
          <c:symbol val="none"/>
        </c:marker>
      </c:pivotFmt>
      <c:pivotFmt>
        <c:idx val="82"/>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3"/>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4"/>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5"/>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6"/>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7"/>
        <c:marker>
          <c:symbol val="none"/>
        </c:marker>
      </c:pivotFmt>
      <c:pivotFmt>
        <c:idx val="88"/>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6724625668930974E-2"/>
          <c:y val="0.10560742407199099"/>
          <c:w val="0.70320387754734315"/>
          <c:h val="0.77438111902678841"/>
        </c:manualLayout>
      </c:layout>
      <c:barChart>
        <c:barDir val="col"/>
        <c:grouping val="stacked"/>
        <c:varyColors val="0"/>
        <c:ser>
          <c:idx val="0"/>
          <c:order val="0"/>
          <c:tx>
            <c:strRef>
              <c:f>Sheet2!$B$3:$B$4</c:f>
              <c:strCache>
                <c:ptCount val="1"/>
                <c:pt idx="0">
                  <c:v>Clinical Support Services</c:v>
                </c:pt>
              </c:strCache>
            </c:strRef>
          </c:tx>
          <c:invertIfNegative val="0"/>
          <c:dLbls>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multiLvlStrRef>
              <c:f>Sheet2!$A$5:$A$19</c:f>
              <c:multiLvlStrCache>
                <c:ptCount val="12"/>
                <c:lvl>
                  <c:pt idx="0">
                    <c:v>Apr</c:v>
                  </c:pt>
                  <c:pt idx="1">
                    <c:v>May</c:v>
                  </c:pt>
                  <c:pt idx="2">
                    <c:v>Jun</c:v>
                  </c:pt>
                  <c:pt idx="3">
                    <c:v>Jul</c:v>
                  </c:pt>
                  <c:pt idx="4">
                    <c:v>Aug</c:v>
                  </c:pt>
                  <c:pt idx="5">
                    <c:v>Sep</c:v>
                  </c:pt>
                  <c:pt idx="6">
                    <c:v>Oct</c:v>
                  </c:pt>
                  <c:pt idx="7">
                    <c:v>Nov</c:v>
                  </c:pt>
                  <c:pt idx="8">
                    <c:v>Dec</c:v>
                  </c:pt>
                  <c:pt idx="9">
                    <c:v>Jan</c:v>
                  </c:pt>
                  <c:pt idx="10">
                    <c:v>Feb</c:v>
                  </c:pt>
                  <c:pt idx="11">
                    <c:v>Mar</c:v>
                  </c:pt>
                </c:lvl>
                <c:lvl>
                  <c:pt idx="0">
                    <c:v>2023</c:v>
                  </c:pt>
                  <c:pt idx="9">
                    <c:v>2024</c:v>
                  </c:pt>
                </c:lvl>
              </c:multiLvlStrCache>
            </c:multiLvlStrRef>
          </c:cat>
          <c:val>
            <c:numRef>
              <c:f>Sheet2!$B$5:$B$19</c:f>
              <c:numCache>
                <c:formatCode>General</c:formatCode>
                <c:ptCount val="12"/>
                <c:pt idx="0">
                  <c:v>6</c:v>
                </c:pt>
                <c:pt idx="1">
                  <c:v>13</c:v>
                </c:pt>
                <c:pt idx="2">
                  <c:v>16</c:v>
                </c:pt>
                <c:pt idx="3">
                  <c:v>14</c:v>
                </c:pt>
                <c:pt idx="4">
                  <c:v>10</c:v>
                </c:pt>
                <c:pt idx="5">
                  <c:v>10</c:v>
                </c:pt>
                <c:pt idx="6">
                  <c:v>8</c:v>
                </c:pt>
                <c:pt idx="7">
                  <c:v>4</c:v>
                </c:pt>
                <c:pt idx="8">
                  <c:v>2</c:v>
                </c:pt>
                <c:pt idx="9">
                  <c:v>8</c:v>
                </c:pt>
                <c:pt idx="10">
                  <c:v>4</c:v>
                </c:pt>
                <c:pt idx="11">
                  <c:v>1</c:v>
                </c:pt>
              </c:numCache>
            </c:numRef>
          </c:val>
          <c:extLst>
            <c:ext xmlns:c16="http://schemas.microsoft.com/office/drawing/2014/chart" uri="{C3380CC4-5D6E-409C-BE32-E72D297353CC}">
              <c16:uniqueId val="{00000000-5A30-4223-B0C4-4E6C732F5212}"/>
            </c:ext>
          </c:extLst>
        </c:ser>
        <c:ser>
          <c:idx val="1"/>
          <c:order val="1"/>
          <c:tx>
            <c:strRef>
              <c:f>Sheet2!$C$3:$C$4</c:f>
              <c:strCache>
                <c:ptCount val="1"/>
                <c:pt idx="0">
                  <c:v>Corporate functions</c:v>
                </c:pt>
              </c:strCache>
            </c:strRef>
          </c:tx>
          <c:invertIfNegative val="0"/>
          <c:dLbls>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multiLvlStrRef>
              <c:f>Sheet2!$A$5:$A$19</c:f>
              <c:multiLvlStrCache>
                <c:ptCount val="12"/>
                <c:lvl>
                  <c:pt idx="0">
                    <c:v>Apr</c:v>
                  </c:pt>
                  <c:pt idx="1">
                    <c:v>May</c:v>
                  </c:pt>
                  <c:pt idx="2">
                    <c:v>Jun</c:v>
                  </c:pt>
                  <c:pt idx="3">
                    <c:v>Jul</c:v>
                  </c:pt>
                  <c:pt idx="4">
                    <c:v>Aug</c:v>
                  </c:pt>
                  <c:pt idx="5">
                    <c:v>Sep</c:v>
                  </c:pt>
                  <c:pt idx="6">
                    <c:v>Oct</c:v>
                  </c:pt>
                  <c:pt idx="7">
                    <c:v>Nov</c:v>
                  </c:pt>
                  <c:pt idx="8">
                    <c:v>Dec</c:v>
                  </c:pt>
                  <c:pt idx="9">
                    <c:v>Jan</c:v>
                  </c:pt>
                  <c:pt idx="10">
                    <c:v>Feb</c:v>
                  </c:pt>
                  <c:pt idx="11">
                    <c:v>Mar</c:v>
                  </c:pt>
                </c:lvl>
                <c:lvl>
                  <c:pt idx="0">
                    <c:v>2023</c:v>
                  </c:pt>
                  <c:pt idx="9">
                    <c:v>2024</c:v>
                  </c:pt>
                </c:lvl>
              </c:multiLvlStrCache>
            </c:multiLvlStrRef>
          </c:cat>
          <c:val>
            <c:numRef>
              <c:f>Sheet2!$C$5:$C$19</c:f>
              <c:numCache>
                <c:formatCode>General</c:formatCode>
                <c:ptCount val="12"/>
                <c:pt idx="1">
                  <c:v>2</c:v>
                </c:pt>
                <c:pt idx="2">
                  <c:v>1</c:v>
                </c:pt>
                <c:pt idx="3">
                  <c:v>4</c:v>
                </c:pt>
                <c:pt idx="4">
                  <c:v>2</c:v>
                </c:pt>
                <c:pt idx="5">
                  <c:v>3</c:v>
                </c:pt>
                <c:pt idx="6">
                  <c:v>8</c:v>
                </c:pt>
                <c:pt idx="7">
                  <c:v>3</c:v>
                </c:pt>
                <c:pt idx="8">
                  <c:v>3</c:v>
                </c:pt>
                <c:pt idx="9">
                  <c:v>1</c:v>
                </c:pt>
                <c:pt idx="10">
                  <c:v>1</c:v>
                </c:pt>
                <c:pt idx="11">
                  <c:v>3</c:v>
                </c:pt>
              </c:numCache>
            </c:numRef>
          </c:val>
          <c:extLst>
            <c:ext xmlns:c16="http://schemas.microsoft.com/office/drawing/2014/chart" uri="{C3380CC4-5D6E-409C-BE32-E72D297353CC}">
              <c16:uniqueId val="{00000001-5A30-4223-B0C4-4E6C732F5212}"/>
            </c:ext>
          </c:extLst>
        </c:ser>
        <c:ser>
          <c:idx val="2"/>
          <c:order val="2"/>
          <c:tx>
            <c:strRef>
              <c:f>Sheet2!$D$3:$D$4</c:f>
              <c:strCache>
                <c:ptCount val="1"/>
                <c:pt idx="0">
                  <c:v>Emergency and Integrated Care</c:v>
                </c:pt>
              </c:strCache>
            </c:strRef>
          </c:tx>
          <c:invertIfNegative val="0"/>
          <c:dLbls>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multiLvlStrRef>
              <c:f>Sheet2!$A$5:$A$19</c:f>
              <c:multiLvlStrCache>
                <c:ptCount val="12"/>
                <c:lvl>
                  <c:pt idx="0">
                    <c:v>Apr</c:v>
                  </c:pt>
                  <c:pt idx="1">
                    <c:v>May</c:v>
                  </c:pt>
                  <c:pt idx="2">
                    <c:v>Jun</c:v>
                  </c:pt>
                  <c:pt idx="3">
                    <c:v>Jul</c:v>
                  </c:pt>
                  <c:pt idx="4">
                    <c:v>Aug</c:v>
                  </c:pt>
                  <c:pt idx="5">
                    <c:v>Sep</c:v>
                  </c:pt>
                  <c:pt idx="6">
                    <c:v>Oct</c:v>
                  </c:pt>
                  <c:pt idx="7">
                    <c:v>Nov</c:v>
                  </c:pt>
                  <c:pt idx="8">
                    <c:v>Dec</c:v>
                  </c:pt>
                  <c:pt idx="9">
                    <c:v>Jan</c:v>
                  </c:pt>
                  <c:pt idx="10">
                    <c:v>Feb</c:v>
                  </c:pt>
                  <c:pt idx="11">
                    <c:v>Mar</c:v>
                  </c:pt>
                </c:lvl>
                <c:lvl>
                  <c:pt idx="0">
                    <c:v>2023</c:v>
                  </c:pt>
                  <c:pt idx="9">
                    <c:v>2024</c:v>
                  </c:pt>
                </c:lvl>
              </c:multiLvlStrCache>
            </c:multiLvlStrRef>
          </c:cat>
          <c:val>
            <c:numRef>
              <c:f>Sheet2!$D$5:$D$19</c:f>
              <c:numCache>
                <c:formatCode>General</c:formatCode>
                <c:ptCount val="12"/>
                <c:pt idx="0">
                  <c:v>16</c:v>
                </c:pt>
                <c:pt idx="1">
                  <c:v>9</c:v>
                </c:pt>
                <c:pt idx="2">
                  <c:v>5</c:v>
                </c:pt>
                <c:pt idx="3">
                  <c:v>10</c:v>
                </c:pt>
                <c:pt idx="4">
                  <c:v>14</c:v>
                </c:pt>
                <c:pt idx="5">
                  <c:v>9</c:v>
                </c:pt>
                <c:pt idx="6">
                  <c:v>14</c:v>
                </c:pt>
                <c:pt idx="7">
                  <c:v>9</c:v>
                </c:pt>
                <c:pt idx="8">
                  <c:v>12</c:v>
                </c:pt>
                <c:pt idx="9">
                  <c:v>11</c:v>
                </c:pt>
                <c:pt idx="10">
                  <c:v>14</c:v>
                </c:pt>
                <c:pt idx="11">
                  <c:v>15</c:v>
                </c:pt>
              </c:numCache>
            </c:numRef>
          </c:val>
          <c:extLst>
            <c:ext xmlns:c16="http://schemas.microsoft.com/office/drawing/2014/chart" uri="{C3380CC4-5D6E-409C-BE32-E72D297353CC}">
              <c16:uniqueId val="{00000002-5A30-4223-B0C4-4E6C732F5212}"/>
            </c:ext>
          </c:extLst>
        </c:ser>
        <c:ser>
          <c:idx val="3"/>
          <c:order val="3"/>
          <c:tx>
            <c:strRef>
              <c:f>Sheet2!$E$3:$E$4</c:f>
              <c:strCache>
                <c:ptCount val="1"/>
                <c:pt idx="0">
                  <c:v>Planned Care</c:v>
                </c:pt>
              </c:strCache>
            </c:strRef>
          </c:tx>
          <c:invertIfNegative val="0"/>
          <c:dLbls>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multiLvlStrRef>
              <c:f>Sheet2!$A$5:$A$19</c:f>
              <c:multiLvlStrCache>
                <c:ptCount val="12"/>
                <c:lvl>
                  <c:pt idx="0">
                    <c:v>Apr</c:v>
                  </c:pt>
                  <c:pt idx="1">
                    <c:v>May</c:v>
                  </c:pt>
                  <c:pt idx="2">
                    <c:v>Jun</c:v>
                  </c:pt>
                  <c:pt idx="3">
                    <c:v>Jul</c:v>
                  </c:pt>
                  <c:pt idx="4">
                    <c:v>Aug</c:v>
                  </c:pt>
                  <c:pt idx="5">
                    <c:v>Sep</c:v>
                  </c:pt>
                  <c:pt idx="6">
                    <c:v>Oct</c:v>
                  </c:pt>
                  <c:pt idx="7">
                    <c:v>Nov</c:v>
                  </c:pt>
                  <c:pt idx="8">
                    <c:v>Dec</c:v>
                  </c:pt>
                  <c:pt idx="9">
                    <c:v>Jan</c:v>
                  </c:pt>
                  <c:pt idx="10">
                    <c:v>Feb</c:v>
                  </c:pt>
                  <c:pt idx="11">
                    <c:v>Mar</c:v>
                  </c:pt>
                </c:lvl>
                <c:lvl>
                  <c:pt idx="0">
                    <c:v>2023</c:v>
                  </c:pt>
                  <c:pt idx="9">
                    <c:v>2024</c:v>
                  </c:pt>
                </c:lvl>
              </c:multiLvlStrCache>
            </c:multiLvlStrRef>
          </c:cat>
          <c:val>
            <c:numRef>
              <c:f>Sheet2!$E$5:$E$19</c:f>
              <c:numCache>
                <c:formatCode>General</c:formatCode>
                <c:ptCount val="12"/>
                <c:pt idx="0">
                  <c:v>3</c:v>
                </c:pt>
                <c:pt idx="1">
                  <c:v>2</c:v>
                </c:pt>
                <c:pt idx="2">
                  <c:v>4</c:v>
                </c:pt>
                <c:pt idx="3">
                  <c:v>4</c:v>
                </c:pt>
                <c:pt idx="4">
                  <c:v>4</c:v>
                </c:pt>
                <c:pt idx="5">
                  <c:v>2</c:v>
                </c:pt>
                <c:pt idx="6">
                  <c:v>7</c:v>
                </c:pt>
                <c:pt idx="7">
                  <c:v>7</c:v>
                </c:pt>
                <c:pt idx="8">
                  <c:v>6</c:v>
                </c:pt>
                <c:pt idx="9">
                  <c:v>9</c:v>
                </c:pt>
                <c:pt idx="10">
                  <c:v>9</c:v>
                </c:pt>
                <c:pt idx="11">
                  <c:v>7</c:v>
                </c:pt>
              </c:numCache>
            </c:numRef>
          </c:val>
          <c:extLst>
            <c:ext xmlns:c16="http://schemas.microsoft.com/office/drawing/2014/chart" uri="{C3380CC4-5D6E-409C-BE32-E72D297353CC}">
              <c16:uniqueId val="{00000003-5A30-4223-B0C4-4E6C732F5212}"/>
            </c:ext>
          </c:extLst>
        </c:ser>
        <c:ser>
          <c:idx val="4"/>
          <c:order val="4"/>
          <c:tx>
            <c:strRef>
              <c:f>Sheet2!$F$3:$F$4</c:f>
              <c:strCache>
                <c:ptCount val="1"/>
                <c:pt idx="0">
                  <c:v>West London Childrens Healthcare</c:v>
                </c:pt>
              </c:strCache>
            </c:strRef>
          </c:tx>
          <c:invertIfNegative val="0"/>
          <c:cat>
            <c:multiLvlStrRef>
              <c:f>Sheet2!$A$5:$A$19</c:f>
              <c:multiLvlStrCache>
                <c:ptCount val="12"/>
                <c:lvl>
                  <c:pt idx="0">
                    <c:v>Apr</c:v>
                  </c:pt>
                  <c:pt idx="1">
                    <c:v>May</c:v>
                  </c:pt>
                  <c:pt idx="2">
                    <c:v>Jun</c:v>
                  </c:pt>
                  <c:pt idx="3">
                    <c:v>Jul</c:v>
                  </c:pt>
                  <c:pt idx="4">
                    <c:v>Aug</c:v>
                  </c:pt>
                  <c:pt idx="5">
                    <c:v>Sep</c:v>
                  </c:pt>
                  <c:pt idx="6">
                    <c:v>Oct</c:v>
                  </c:pt>
                  <c:pt idx="7">
                    <c:v>Nov</c:v>
                  </c:pt>
                  <c:pt idx="8">
                    <c:v>Dec</c:v>
                  </c:pt>
                  <c:pt idx="9">
                    <c:v>Jan</c:v>
                  </c:pt>
                  <c:pt idx="10">
                    <c:v>Feb</c:v>
                  </c:pt>
                  <c:pt idx="11">
                    <c:v>Mar</c:v>
                  </c:pt>
                </c:lvl>
                <c:lvl>
                  <c:pt idx="0">
                    <c:v>2023</c:v>
                  </c:pt>
                  <c:pt idx="9">
                    <c:v>2024</c:v>
                  </c:pt>
                </c:lvl>
              </c:multiLvlStrCache>
            </c:multiLvlStrRef>
          </c:cat>
          <c:val>
            <c:numRef>
              <c:f>Sheet2!$F$5:$F$19</c:f>
              <c:numCache>
                <c:formatCode>General</c:formatCode>
                <c:ptCount val="12"/>
                <c:pt idx="2">
                  <c:v>2</c:v>
                </c:pt>
                <c:pt idx="7">
                  <c:v>2</c:v>
                </c:pt>
                <c:pt idx="8">
                  <c:v>1</c:v>
                </c:pt>
                <c:pt idx="9">
                  <c:v>2</c:v>
                </c:pt>
                <c:pt idx="10">
                  <c:v>1</c:v>
                </c:pt>
              </c:numCache>
            </c:numRef>
          </c:val>
          <c:extLst>
            <c:ext xmlns:c16="http://schemas.microsoft.com/office/drawing/2014/chart" uri="{C3380CC4-5D6E-409C-BE32-E72D297353CC}">
              <c16:uniqueId val="{00000004-5A30-4223-B0C4-4E6C732F5212}"/>
            </c:ext>
          </c:extLst>
        </c:ser>
        <c:ser>
          <c:idx val="5"/>
          <c:order val="5"/>
          <c:tx>
            <c:strRef>
              <c:f>Sheet2!$G$3:$G$4</c:f>
              <c:strCache>
                <c:ptCount val="1"/>
                <c:pt idx="0">
                  <c:v>Specialist Care (Womens, Neonates, HIV, GUM and Dermatology)</c:v>
                </c:pt>
              </c:strCache>
            </c:strRef>
          </c:tx>
          <c:invertIfNegative val="0"/>
          <c:dLbls>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multiLvlStrRef>
              <c:f>Sheet2!$A$5:$A$19</c:f>
              <c:multiLvlStrCache>
                <c:ptCount val="12"/>
                <c:lvl>
                  <c:pt idx="0">
                    <c:v>Apr</c:v>
                  </c:pt>
                  <c:pt idx="1">
                    <c:v>May</c:v>
                  </c:pt>
                  <c:pt idx="2">
                    <c:v>Jun</c:v>
                  </c:pt>
                  <c:pt idx="3">
                    <c:v>Jul</c:v>
                  </c:pt>
                  <c:pt idx="4">
                    <c:v>Aug</c:v>
                  </c:pt>
                  <c:pt idx="5">
                    <c:v>Sep</c:v>
                  </c:pt>
                  <c:pt idx="6">
                    <c:v>Oct</c:v>
                  </c:pt>
                  <c:pt idx="7">
                    <c:v>Nov</c:v>
                  </c:pt>
                  <c:pt idx="8">
                    <c:v>Dec</c:v>
                  </c:pt>
                  <c:pt idx="9">
                    <c:v>Jan</c:v>
                  </c:pt>
                  <c:pt idx="10">
                    <c:v>Feb</c:v>
                  </c:pt>
                  <c:pt idx="11">
                    <c:v>Mar</c:v>
                  </c:pt>
                </c:lvl>
                <c:lvl>
                  <c:pt idx="0">
                    <c:v>2023</c:v>
                  </c:pt>
                  <c:pt idx="9">
                    <c:v>2024</c:v>
                  </c:pt>
                </c:lvl>
              </c:multiLvlStrCache>
            </c:multiLvlStrRef>
          </c:cat>
          <c:val>
            <c:numRef>
              <c:f>Sheet2!$G$5:$G$19</c:f>
              <c:numCache>
                <c:formatCode>General</c:formatCode>
                <c:ptCount val="12"/>
                <c:pt idx="0">
                  <c:v>9</c:v>
                </c:pt>
                <c:pt idx="1">
                  <c:v>8</c:v>
                </c:pt>
                <c:pt idx="2">
                  <c:v>10</c:v>
                </c:pt>
                <c:pt idx="3">
                  <c:v>5</c:v>
                </c:pt>
                <c:pt idx="4">
                  <c:v>16</c:v>
                </c:pt>
                <c:pt idx="5">
                  <c:v>5</c:v>
                </c:pt>
                <c:pt idx="6">
                  <c:v>12</c:v>
                </c:pt>
                <c:pt idx="7">
                  <c:v>5</c:v>
                </c:pt>
                <c:pt idx="8">
                  <c:v>6</c:v>
                </c:pt>
                <c:pt idx="9">
                  <c:v>8</c:v>
                </c:pt>
                <c:pt idx="10">
                  <c:v>14</c:v>
                </c:pt>
                <c:pt idx="11">
                  <c:v>2</c:v>
                </c:pt>
              </c:numCache>
            </c:numRef>
          </c:val>
          <c:extLst>
            <c:ext xmlns:c16="http://schemas.microsoft.com/office/drawing/2014/chart" uri="{C3380CC4-5D6E-409C-BE32-E72D297353CC}">
              <c16:uniqueId val="{00000005-5A30-4223-B0C4-4E6C732F5212}"/>
            </c:ext>
          </c:extLst>
        </c:ser>
        <c:dLbls>
          <c:showLegendKey val="0"/>
          <c:showVal val="0"/>
          <c:showCatName val="0"/>
          <c:showSerName val="0"/>
          <c:showPercent val="0"/>
          <c:showBubbleSize val="0"/>
        </c:dLbls>
        <c:gapWidth val="150"/>
        <c:overlap val="100"/>
        <c:axId val="204932096"/>
        <c:axId val="202067904"/>
      </c:barChart>
      <c:catAx>
        <c:axId val="204932096"/>
        <c:scaling>
          <c:orientation val="minMax"/>
        </c:scaling>
        <c:delete val="0"/>
        <c:axPos val="b"/>
        <c:numFmt formatCode="General" sourceLinked="0"/>
        <c:majorTickMark val="out"/>
        <c:minorTickMark val="none"/>
        <c:tickLblPos val="nextTo"/>
        <c:txPr>
          <a:bodyPr/>
          <a:lstStyle/>
          <a:p>
            <a:pPr>
              <a:defRPr sz="800"/>
            </a:pPr>
            <a:endParaRPr lang="en-US"/>
          </a:p>
        </c:txPr>
        <c:crossAx val="202067904"/>
        <c:crosses val="autoZero"/>
        <c:auto val="1"/>
        <c:lblAlgn val="ctr"/>
        <c:lblOffset val="100"/>
        <c:noMultiLvlLbl val="0"/>
      </c:catAx>
      <c:valAx>
        <c:axId val="202067904"/>
        <c:scaling>
          <c:orientation val="minMax"/>
        </c:scaling>
        <c:delete val="0"/>
        <c:axPos val="l"/>
        <c:majorGridlines/>
        <c:numFmt formatCode="General" sourceLinked="1"/>
        <c:majorTickMark val="out"/>
        <c:minorTickMark val="none"/>
        <c:tickLblPos val="nextTo"/>
        <c:crossAx val="204932096"/>
        <c:crosses val="autoZero"/>
        <c:crossBetween val="between"/>
      </c:valAx>
    </c:plotArea>
    <c:legend>
      <c:legendPos val="r"/>
      <c:layout>
        <c:manualLayout>
          <c:xMode val="edge"/>
          <c:yMode val="edge"/>
          <c:x val="0.78269596020777121"/>
          <c:y val="5.6758266277044431E-2"/>
          <c:w val="0.19117199860506948"/>
          <c:h val="0.9198187865715004"/>
        </c:manualLayout>
      </c:layou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Maternity (birth) FFT satisfaction %</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Maternity!$B$16</c:f>
              <c:strCache>
                <c:ptCount val="1"/>
                <c:pt idx="0">
                  <c:v>CWFT</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Maternity!$C$14:$N$15</c:f>
              <c:strCache>
                <c:ptCount val="12"/>
                <c:pt idx="0">
                  <c:v>Apr-23</c:v>
                </c:pt>
                <c:pt idx="1">
                  <c:v>May-23</c:v>
                </c:pt>
                <c:pt idx="2">
                  <c:v>Jun-23</c:v>
                </c:pt>
                <c:pt idx="3">
                  <c:v>Jul-23</c:v>
                </c:pt>
                <c:pt idx="4">
                  <c:v>Aug-23</c:v>
                </c:pt>
                <c:pt idx="5">
                  <c:v>Sep-23</c:v>
                </c:pt>
                <c:pt idx="6">
                  <c:v>Oct-23</c:v>
                </c:pt>
                <c:pt idx="7">
                  <c:v>Nov-23</c:v>
                </c:pt>
                <c:pt idx="8">
                  <c:v>Dec-23</c:v>
                </c:pt>
                <c:pt idx="9">
                  <c:v>Jan-24</c:v>
                </c:pt>
                <c:pt idx="10">
                  <c:v>Feb-24</c:v>
                </c:pt>
                <c:pt idx="11">
                  <c:v>Mar-24</c:v>
                </c:pt>
              </c:strCache>
            </c:strRef>
          </c:cat>
          <c:val>
            <c:numRef>
              <c:f>Maternity!$C$16:$N$16</c:f>
              <c:numCache>
                <c:formatCode>0%</c:formatCode>
                <c:ptCount val="12"/>
                <c:pt idx="0">
                  <c:v>0.96</c:v>
                </c:pt>
                <c:pt idx="1">
                  <c:v>0.95</c:v>
                </c:pt>
                <c:pt idx="2">
                  <c:v>0.94</c:v>
                </c:pt>
                <c:pt idx="3">
                  <c:v>0.94</c:v>
                </c:pt>
                <c:pt idx="4">
                  <c:v>0.98</c:v>
                </c:pt>
                <c:pt idx="5">
                  <c:v>0.92</c:v>
                </c:pt>
                <c:pt idx="6">
                  <c:v>1</c:v>
                </c:pt>
                <c:pt idx="7">
                  <c:v>0.97</c:v>
                </c:pt>
                <c:pt idx="8">
                  <c:v>0.98</c:v>
                </c:pt>
                <c:pt idx="9">
                  <c:v>0.98</c:v>
                </c:pt>
                <c:pt idx="10">
                  <c:v>0.98</c:v>
                </c:pt>
                <c:pt idx="11">
                  <c:v>1</c:v>
                </c:pt>
              </c:numCache>
            </c:numRef>
          </c:val>
          <c:smooth val="0"/>
          <c:extLst>
            <c:ext xmlns:c16="http://schemas.microsoft.com/office/drawing/2014/chart" uri="{C3380CC4-5D6E-409C-BE32-E72D297353CC}">
              <c16:uniqueId val="{00000000-B63D-4424-9AC2-0AC29594A2A5}"/>
            </c:ext>
          </c:extLst>
        </c:ser>
        <c:ser>
          <c:idx val="1"/>
          <c:order val="1"/>
          <c:tx>
            <c:strRef>
              <c:f>Maternity!$B$17</c:f>
              <c:strCache>
                <c:ptCount val="1"/>
                <c:pt idx="0">
                  <c:v>NWL</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Maternity!$C$14:$N$15</c:f>
              <c:strCache>
                <c:ptCount val="12"/>
                <c:pt idx="0">
                  <c:v>Apr-23</c:v>
                </c:pt>
                <c:pt idx="1">
                  <c:v>May-23</c:v>
                </c:pt>
                <c:pt idx="2">
                  <c:v>Jun-23</c:v>
                </c:pt>
                <c:pt idx="3">
                  <c:v>Jul-23</c:v>
                </c:pt>
                <c:pt idx="4">
                  <c:v>Aug-23</c:v>
                </c:pt>
                <c:pt idx="5">
                  <c:v>Sep-23</c:v>
                </c:pt>
                <c:pt idx="6">
                  <c:v>Oct-23</c:v>
                </c:pt>
                <c:pt idx="7">
                  <c:v>Nov-23</c:v>
                </c:pt>
                <c:pt idx="8">
                  <c:v>Dec-23</c:v>
                </c:pt>
                <c:pt idx="9">
                  <c:v>Jan-24</c:v>
                </c:pt>
                <c:pt idx="10">
                  <c:v>Feb-24</c:v>
                </c:pt>
                <c:pt idx="11">
                  <c:v>Mar-24</c:v>
                </c:pt>
              </c:strCache>
            </c:strRef>
          </c:cat>
          <c:val>
            <c:numRef>
              <c:f>Maternity!$C$17:$N$17</c:f>
              <c:numCache>
                <c:formatCode>0%</c:formatCode>
                <c:ptCount val="12"/>
                <c:pt idx="0">
                  <c:v>0.89</c:v>
                </c:pt>
                <c:pt idx="1">
                  <c:v>0.93</c:v>
                </c:pt>
                <c:pt idx="2">
                  <c:v>0.93</c:v>
                </c:pt>
                <c:pt idx="3">
                  <c:v>0.92</c:v>
                </c:pt>
                <c:pt idx="4">
                  <c:v>0.91</c:v>
                </c:pt>
                <c:pt idx="5">
                  <c:v>0.92</c:v>
                </c:pt>
                <c:pt idx="6">
                  <c:v>0.94</c:v>
                </c:pt>
                <c:pt idx="7">
                  <c:v>0.9</c:v>
                </c:pt>
                <c:pt idx="8">
                  <c:v>0.92</c:v>
                </c:pt>
                <c:pt idx="9">
                  <c:v>0.92</c:v>
                </c:pt>
                <c:pt idx="10">
                  <c:v>0.94</c:v>
                </c:pt>
                <c:pt idx="11">
                  <c:v>0.91</c:v>
                </c:pt>
              </c:numCache>
            </c:numRef>
          </c:val>
          <c:smooth val="0"/>
          <c:extLst>
            <c:ext xmlns:c16="http://schemas.microsoft.com/office/drawing/2014/chart" uri="{C3380CC4-5D6E-409C-BE32-E72D297353CC}">
              <c16:uniqueId val="{00000001-B63D-4424-9AC2-0AC29594A2A5}"/>
            </c:ext>
          </c:extLst>
        </c:ser>
        <c:ser>
          <c:idx val="2"/>
          <c:order val="2"/>
          <c:tx>
            <c:strRef>
              <c:f>Maternity!$B$18</c:f>
              <c:strCache>
                <c:ptCount val="1"/>
                <c:pt idx="0">
                  <c:v>National</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Maternity!$C$14:$N$15</c:f>
              <c:strCache>
                <c:ptCount val="12"/>
                <c:pt idx="0">
                  <c:v>Apr-23</c:v>
                </c:pt>
                <c:pt idx="1">
                  <c:v>May-23</c:v>
                </c:pt>
                <c:pt idx="2">
                  <c:v>Jun-23</c:v>
                </c:pt>
                <c:pt idx="3">
                  <c:v>Jul-23</c:v>
                </c:pt>
                <c:pt idx="4">
                  <c:v>Aug-23</c:v>
                </c:pt>
                <c:pt idx="5">
                  <c:v>Sep-23</c:v>
                </c:pt>
                <c:pt idx="6">
                  <c:v>Oct-23</c:v>
                </c:pt>
                <c:pt idx="7">
                  <c:v>Nov-23</c:v>
                </c:pt>
                <c:pt idx="8">
                  <c:v>Dec-23</c:v>
                </c:pt>
                <c:pt idx="9">
                  <c:v>Jan-24</c:v>
                </c:pt>
                <c:pt idx="10">
                  <c:v>Feb-24</c:v>
                </c:pt>
                <c:pt idx="11">
                  <c:v>Mar-24</c:v>
                </c:pt>
              </c:strCache>
            </c:strRef>
          </c:cat>
          <c:val>
            <c:numRef>
              <c:f>Maternity!$C$18:$N$18</c:f>
              <c:numCache>
                <c:formatCode>0%</c:formatCode>
                <c:ptCount val="12"/>
                <c:pt idx="0">
                  <c:v>0.94</c:v>
                </c:pt>
                <c:pt idx="1">
                  <c:v>0.94</c:v>
                </c:pt>
                <c:pt idx="2">
                  <c:v>0.94</c:v>
                </c:pt>
                <c:pt idx="3">
                  <c:v>0.94</c:v>
                </c:pt>
                <c:pt idx="4">
                  <c:v>0.94</c:v>
                </c:pt>
                <c:pt idx="5">
                  <c:v>0.94</c:v>
                </c:pt>
                <c:pt idx="6">
                  <c:v>0.94</c:v>
                </c:pt>
                <c:pt idx="7">
                  <c:v>0.94</c:v>
                </c:pt>
                <c:pt idx="8">
                  <c:v>0.93</c:v>
                </c:pt>
                <c:pt idx="9">
                  <c:v>0.93</c:v>
                </c:pt>
                <c:pt idx="10">
                  <c:v>0.94</c:v>
                </c:pt>
                <c:pt idx="11">
                  <c:v>0.93</c:v>
                </c:pt>
              </c:numCache>
            </c:numRef>
          </c:val>
          <c:smooth val="0"/>
          <c:extLst>
            <c:ext xmlns:c16="http://schemas.microsoft.com/office/drawing/2014/chart" uri="{C3380CC4-5D6E-409C-BE32-E72D297353CC}">
              <c16:uniqueId val="{00000002-B63D-4424-9AC2-0AC29594A2A5}"/>
            </c:ext>
          </c:extLst>
        </c:ser>
        <c:dLbls>
          <c:showLegendKey val="0"/>
          <c:showVal val="0"/>
          <c:showCatName val="0"/>
          <c:showSerName val="0"/>
          <c:showPercent val="0"/>
          <c:showBubbleSize val="0"/>
        </c:dLbls>
        <c:smooth val="0"/>
        <c:axId val="313952287"/>
        <c:axId val="313947295"/>
      </c:lineChart>
      <c:catAx>
        <c:axId val="313952287"/>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947295"/>
        <c:crosses val="autoZero"/>
        <c:auto val="1"/>
        <c:lblAlgn val="ctr"/>
        <c:lblOffset val="100"/>
        <c:noMultiLvlLbl val="1"/>
      </c:catAx>
      <c:valAx>
        <c:axId val="3139472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95228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Maternity (postnatal ward) FFT satisfaction %</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Maternity!$B$29</c:f>
              <c:strCache>
                <c:ptCount val="1"/>
                <c:pt idx="0">
                  <c:v>CWFT</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Maternity!$C$27:$N$28</c:f>
              <c:strCache>
                <c:ptCount val="12"/>
                <c:pt idx="0">
                  <c:v>Apr-23</c:v>
                </c:pt>
                <c:pt idx="1">
                  <c:v>May-23</c:v>
                </c:pt>
                <c:pt idx="2">
                  <c:v>Jun-23</c:v>
                </c:pt>
                <c:pt idx="3">
                  <c:v>Jul-23</c:v>
                </c:pt>
                <c:pt idx="4">
                  <c:v>Aug-23</c:v>
                </c:pt>
                <c:pt idx="5">
                  <c:v>Sep-23</c:v>
                </c:pt>
                <c:pt idx="6">
                  <c:v>Oct-23</c:v>
                </c:pt>
                <c:pt idx="7">
                  <c:v>Nov-23</c:v>
                </c:pt>
                <c:pt idx="8">
                  <c:v>Dec-23</c:v>
                </c:pt>
                <c:pt idx="9">
                  <c:v>Jan-24</c:v>
                </c:pt>
                <c:pt idx="10">
                  <c:v>Feb-24</c:v>
                </c:pt>
                <c:pt idx="11">
                  <c:v>Mar-24</c:v>
                </c:pt>
              </c:strCache>
            </c:strRef>
          </c:cat>
          <c:val>
            <c:numRef>
              <c:f>Maternity!$C$29:$N$29</c:f>
              <c:numCache>
                <c:formatCode>0%</c:formatCode>
                <c:ptCount val="12"/>
                <c:pt idx="0">
                  <c:v>0.88</c:v>
                </c:pt>
                <c:pt idx="1">
                  <c:v>0.87</c:v>
                </c:pt>
                <c:pt idx="2">
                  <c:v>0.93</c:v>
                </c:pt>
                <c:pt idx="3">
                  <c:v>0.87</c:v>
                </c:pt>
                <c:pt idx="4">
                  <c:v>0.92</c:v>
                </c:pt>
                <c:pt idx="5">
                  <c:v>0.9</c:v>
                </c:pt>
                <c:pt idx="6">
                  <c:v>0.88</c:v>
                </c:pt>
                <c:pt idx="7">
                  <c:v>0.83</c:v>
                </c:pt>
                <c:pt idx="8">
                  <c:v>0.86</c:v>
                </c:pt>
                <c:pt idx="9">
                  <c:v>0.92</c:v>
                </c:pt>
                <c:pt idx="10">
                  <c:v>0.85</c:v>
                </c:pt>
                <c:pt idx="11">
                  <c:v>0.92</c:v>
                </c:pt>
              </c:numCache>
            </c:numRef>
          </c:val>
          <c:smooth val="0"/>
          <c:extLst>
            <c:ext xmlns:c16="http://schemas.microsoft.com/office/drawing/2014/chart" uri="{C3380CC4-5D6E-409C-BE32-E72D297353CC}">
              <c16:uniqueId val="{00000000-B5B9-401F-BA89-2BC5764633F3}"/>
            </c:ext>
          </c:extLst>
        </c:ser>
        <c:ser>
          <c:idx val="1"/>
          <c:order val="1"/>
          <c:tx>
            <c:strRef>
              <c:f>Maternity!$B$30</c:f>
              <c:strCache>
                <c:ptCount val="1"/>
                <c:pt idx="0">
                  <c:v>NWL</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Maternity!$C$27:$N$28</c:f>
              <c:strCache>
                <c:ptCount val="12"/>
                <c:pt idx="0">
                  <c:v>Apr-23</c:v>
                </c:pt>
                <c:pt idx="1">
                  <c:v>May-23</c:v>
                </c:pt>
                <c:pt idx="2">
                  <c:v>Jun-23</c:v>
                </c:pt>
                <c:pt idx="3">
                  <c:v>Jul-23</c:v>
                </c:pt>
                <c:pt idx="4">
                  <c:v>Aug-23</c:v>
                </c:pt>
                <c:pt idx="5">
                  <c:v>Sep-23</c:v>
                </c:pt>
                <c:pt idx="6">
                  <c:v>Oct-23</c:v>
                </c:pt>
                <c:pt idx="7">
                  <c:v>Nov-23</c:v>
                </c:pt>
                <c:pt idx="8">
                  <c:v>Dec-23</c:v>
                </c:pt>
                <c:pt idx="9">
                  <c:v>Jan-24</c:v>
                </c:pt>
                <c:pt idx="10">
                  <c:v>Feb-24</c:v>
                </c:pt>
                <c:pt idx="11">
                  <c:v>Mar-24</c:v>
                </c:pt>
              </c:strCache>
            </c:strRef>
          </c:cat>
          <c:val>
            <c:numRef>
              <c:f>Maternity!$C$30:$N$30</c:f>
              <c:numCache>
                <c:formatCode>0%</c:formatCode>
                <c:ptCount val="12"/>
                <c:pt idx="0">
                  <c:v>0.91</c:v>
                </c:pt>
                <c:pt idx="1">
                  <c:v>0.91</c:v>
                </c:pt>
                <c:pt idx="2">
                  <c:v>0.95</c:v>
                </c:pt>
                <c:pt idx="3">
                  <c:v>0.88</c:v>
                </c:pt>
                <c:pt idx="4">
                  <c:v>0.92</c:v>
                </c:pt>
                <c:pt idx="5">
                  <c:v>0.91</c:v>
                </c:pt>
                <c:pt idx="6">
                  <c:v>0.9</c:v>
                </c:pt>
                <c:pt idx="7">
                  <c:v>0.89</c:v>
                </c:pt>
                <c:pt idx="8">
                  <c:v>0.9</c:v>
                </c:pt>
                <c:pt idx="9">
                  <c:v>0.92</c:v>
                </c:pt>
                <c:pt idx="10">
                  <c:v>0.88</c:v>
                </c:pt>
                <c:pt idx="11">
                  <c:v>0.89</c:v>
                </c:pt>
              </c:numCache>
            </c:numRef>
          </c:val>
          <c:smooth val="0"/>
          <c:extLst>
            <c:ext xmlns:c16="http://schemas.microsoft.com/office/drawing/2014/chart" uri="{C3380CC4-5D6E-409C-BE32-E72D297353CC}">
              <c16:uniqueId val="{00000001-B5B9-401F-BA89-2BC5764633F3}"/>
            </c:ext>
          </c:extLst>
        </c:ser>
        <c:ser>
          <c:idx val="2"/>
          <c:order val="2"/>
          <c:tx>
            <c:strRef>
              <c:f>Maternity!$B$31</c:f>
              <c:strCache>
                <c:ptCount val="1"/>
                <c:pt idx="0">
                  <c:v>National</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Maternity!$C$27:$N$28</c:f>
              <c:strCache>
                <c:ptCount val="12"/>
                <c:pt idx="0">
                  <c:v>Apr-23</c:v>
                </c:pt>
                <c:pt idx="1">
                  <c:v>May-23</c:v>
                </c:pt>
                <c:pt idx="2">
                  <c:v>Jun-23</c:v>
                </c:pt>
                <c:pt idx="3">
                  <c:v>Jul-23</c:v>
                </c:pt>
                <c:pt idx="4">
                  <c:v>Aug-23</c:v>
                </c:pt>
                <c:pt idx="5">
                  <c:v>Sep-23</c:v>
                </c:pt>
                <c:pt idx="6">
                  <c:v>Oct-23</c:v>
                </c:pt>
                <c:pt idx="7">
                  <c:v>Nov-23</c:v>
                </c:pt>
                <c:pt idx="8">
                  <c:v>Dec-23</c:v>
                </c:pt>
                <c:pt idx="9">
                  <c:v>Jan-24</c:v>
                </c:pt>
                <c:pt idx="10">
                  <c:v>Feb-24</c:v>
                </c:pt>
                <c:pt idx="11">
                  <c:v>Mar-24</c:v>
                </c:pt>
              </c:strCache>
            </c:strRef>
          </c:cat>
          <c:val>
            <c:numRef>
              <c:f>Maternity!$C$31:$N$31</c:f>
              <c:numCache>
                <c:formatCode>0%</c:formatCode>
                <c:ptCount val="12"/>
                <c:pt idx="0">
                  <c:v>0.93</c:v>
                </c:pt>
                <c:pt idx="1">
                  <c:v>0.92</c:v>
                </c:pt>
                <c:pt idx="2">
                  <c:v>0.94</c:v>
                </c:pt>
                <c:pt idx="3">
                  <c:v>0.93</c:v>
                </c:pt>
                <c:pt idx="4">
                  <c:v>0.92</c:v>
                </c:pt>
                <c:pt idx="5">
                  <c:v>0.92</c:v>
                </c:pt>
                <c:pt idx="6">
                  <c:v>0.91</c:v>
                </c:pt>
                <c:pt idx="7">
                  <c:v>0.92</c:v>
                </c:pt>
                <c:pt idx="8">
                  <c:v>0.92</c:v>
                </c:pt>
                <c:pt idx="9">
                  <c:v>0.93</c:v>
                </c:pt>
                <c:pt idx="10">
                  <c:v>0.92</c:v>
                </c:pt>
                <c:pt idx="11">
                  <c:v>0.92</c:v>
                </c:pt>
              </c:numCache>
            </c:numRef>
          </c:val>
          <c:smooth val="0"/>
          <c:extLst>
            <c:ext xmlns:c16="http://schemas.microsoft.com/office/drawing/2014/chart" uri="{C3380CC4-5D6E-409C-BE32-E72D297353CC}">
              <c16:uniqueId val="{00000002-B5B9-401F-BA89-2BC5764633F3}"/>
            </c:ext>
          </c:extLst>
        </c:ser>
        <c:dLbls>
          <c:showLegendKey val="0"/>
          <c:showVal val="0"/>
          <c:showCatName val="0"/>
          <c:showSerName val="0"/>
          <c:showPercent val="0"/>
          <c:showBubbleSize val="0"/>
        </c:dLbls>
        <c:smooth val="0"/>
        <c:axId val="313971839"/>
        <c:axId val="313968095"/>
      </c:lineChart>
      <c:catAx>
        <c:axId val="313971839"/>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968095"/>
        <c:crosses val="autoZero"/>
        <c:auto val="1"/>
        <c:lblAlgn val="ctr"/>
        <c:lblOffset val="100"/>
        <c:noMultiLvlLbl val="1"/>
      </c:catAx>
      <c:valAx>
        <c:axId val="3139680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97183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Outpatient FFT satisfaction </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Outpatient!$B$3</c:f>
              <c:strCache>
                <c:ptCount val="1"/>
                <c:pt idx="0">
                  <c:v>CWFT</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Outpatient!$C$1:$N$2</c:f>
              <c:strCache>
                <c:ptCount val="12"/>
                <c:pt idx="0">
                  <c:v>Apr-23</c:v>
                </c:pt>
                <c:pt idx="1">
                  <c:v>May-23</c:v>
                </c:pt>
                <c:pt idx="2">
                  <c:v>Jun-23</c:v>
                </c:pt>
                <c:pt idx="3">
                  <c:v>Jul-23</c:v>
                </c:pt>
                <c:pt idx="4">
                  <c:v>Aug-23</c:v>
                </c:pt>
                <c:pt idx="5">
                  <c:v>Sep-23</c:v>
                </c:pt>
                <c:pt idx="6">
                  <c:v>Oct-23</c:v>
                </c:pt>
                <c:pt idx="7">
                  <c:v>Nov-23</c:v>
                </c:pt>
                <c:pt idx="8">
                  <c:v>Dec-23</c:v>
                </c:pt>
                <c:pt idx="9">
                  <c:v>Jan-24</c:v>
                </c:pt>
                <c:pt idx="10">
                  <c:v>Feb-24</c:v>
                </c:pt>
                <c:pt idx="11">
                  <c:v>Mar-24</c:v>
                </c:pt>
              </c:strCache>
            </c:strRef>
          </c:cat>
          <c:val>
            <c:numRef>
              <c:f>Outpatient!$C$3:$N$3</c:f>
              <c:numCache>
                <c:formatCode>0%</c:formatCode>
                <c:ptCount val="12"/>
                <c:pt idx="0">
                  <c:v>0.95</c:v>
                </c:pt>
                <c:pt idx="1">
                  <c:v>0.94</c:v>
                </c:pt>
                <c:pt idx="2">
                  <c:v>0.94</c:v>
                </c:pt>
                <c:pt idx="3">
                  <c:v>0.95</c:v>
                </c:pt>
                <c:pt idx="4">
                  <c:v>0.96</c:v>
                </c:pt>
                <c:pt idx="5">
                  <c:v>0.95</c:v>
                </c:pt>
                <c:pt idx="6">
                  <c:v>0.94</c:v>
                </c:pt>
                <c:pt idx="7">
                  <c:v>0.95</c:v>
                </c:pt>
                <c:pt idx="8">
                  <c:v>0.94</c:v>
                </c:pt>
                <c:pt idx="9">
                  <c:v>0.94</c:v>
                </c:pt>
                <c:pt idx="10">
                  <c:v>0.94</c:v>
                </c:pt>
                <c:pt idx="11">
                  <c:v>0.94</c:v>
                </c:pt>
              </c:numCache>
            </c:numRef>
          </c:val>
          <c:smooth val="0"/>
          <c:extLst>
            <c:ext xmlns:c16="http://schemas.microsoft.com/office/drawing/2014/chart" uri="{C3380CC4-5D6E-409C-BE32-E72D297353CC}">
              <c16:uniqueId val="{00000000-3975-430D-A249-37B967F3E407}"/>
            </c:ext>
          </c:extLst>
        </c:ser>
        <c:ser>
          <c:idx val="1"/>
          <c:order val="1"/>
          <c:tx>
            <c:strRef>
              <c:f>Outpatient!$B$4</c:f>
              <c:strCache>
                <c:ptCount val="1"/>
                <c:pt idx="0">
                  <c:v>NWL</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Outpatient!$C$1:$N$2</c:f>
              <c:strCache>
                <c:ptCount val="12"/>
                <c:pt idx="0">
                  <c:v>Apr-23</c:v>
                </c:pt>
                <c:pt idx="1">
                  <c:v>May-23</c:v>
                </c:pt>
                <c:pt idx="2">
                  <c:v>Jun-23</c:v>
                </c:pt>
                <c:pt idx="3">
                  <c:v>Jul-23</c:v>
                </c:pt>
                <c:pt idx="4">
                  <c:v>Aug-23</c:v>
                </c:pt>
                <c:pt idx="5">
                  <c:v>Sep-23</c:v>
                </c:pt>
                <c:pt idx="6">
                  <c:v>Oct-23</c:v>
                </c:pt>
                <c:pt idx="7">
                  <c:v>Nov-23</c:v>
                </c:pt>
                <c:pt idx="8">
                  <c:v>Dec-23</c:v>
                </c:pt>
                <c:pt idx="9">
                  <c:v>Jan-24</c:v>
                </c:pt>
                <c:pt idx="10">
                  <c:v>Feb-24</c:v>
                </c:pt>
                <c:pt idx="11">
                  <c:v>Mar-24</c:v>
                </c:pt>
              </c:strCache>
            </c:strRef>
          </c:cat>
          <c:val>
            <c:numRef>
              <c:f>Outpatient!$C$4:$N$4</c:f>
              <c:numCache>
                <c:formatCode>0%</c:formatCode>
                <c:ptCount val="12"/>
                <c:pt idx="0">
                  <c:v>0.94</c:v>
                </c:pt>
                <c:pt idx="1">
                  <c:v>0.93</c:v>
                </c:pt>
                <c:pt idx="2">
                  <c:v>0.93</c:v>
                </c:pt>
                <c:pt idx="3">
                  <c:v>0.94</c:v>
                </c:pt>
                <c:pt idx="4">
                  <c:v>0.94</c:v>
                </c:pt>
                <c:pt idx="5">
                  <c:v>0.94</c:v>
                </c:pt>
                <c:pt idx="6">
                  <c:v>0.93</c:v>
                </c:pt>
                <c:pt idx="7">
                  <c:v>0.93</c:v>
                </c:pt>
                <c:pt idx="8">
                  <c:v>0.93</c:v>
                </c:pt>
                <c:pt idx="9">
                  <c:v>0.93</c:v>
                </c:pt>
                <c:pt idx="10">
                  <c:v>0.93</c:v>
                </c:pt>
                <c:pt idx="11">
                  <c:v>0.93</c:v>
                </c:pt>
              </c:numCache>
            </c:numRef>
          </c:val>
          <c:smooth val="0"/>
          <c:extLst>
            <c:ext xmlns:c16="http://schemas.microsoft.com/office/drawing/2014/chart" uri="{C3380CC4-5D6E-409C-BE32-E72D297353CC}">
              <c16:uniqueId val="{00000001-3975-430D-A249-37B967F3E407}"/>
            </c:ext>
          </c:extLst>
        </c:ser>
        <c:ser>
          <c:idx val="2"/>
          <c:order val="2"/>
          <c:tx>
            <c:strRef>
              <c:f>Outpatient!$B$5</c:f>
              <c:strCache>
                <c:ptCount val="1"/>
                <c:pt idx="0">
                  <c:v>National</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Outpatient!$C$1:$N$2</c:f>
              <c:strCache>
                <c:ptCount val="12"/>
                <c:pt idx="0">
                  <c:v>Apr-23</c:v>
                </c:pt>
                <c:pt idx="1">
                  <c:v>May-23</c:v>
                </c:pt>
                <c:pt idx="2">
                  <c:v>Jun-23</c:v>
                </c:pt>
                <c:pt idx="3">
                  <c:v>Jul-23</c:v>
                </c:pt>
                <c:pt idx="4">
                  <c:v>Aug-23</c:v>
                </c:pt>
                <c:pt idx="5">
                  <c:v>Sep-23</c:v>
                </c:pt>
                <c:pt idx="6">
                  <c:v>Oct-23</c:v>
                </c:pt>
                <c:pt idx="7">
                  <c:v>Nov-23</c:v>
                </c:pt>
                <c:pt idx="8">
                  <c:v>Dec-23</c:v>
                </c:pt>
                <c:pt idx="9">
                  <c:v>Jan-24</c:v>
                </c:pt>
                <c:pt idx="10">
                  <c:v>Feb-24</c:v>
                </c:pt>
                <c:pt idx="11">
                  <c:v>Mar-24</c:v>
                </c:pt>
              </c:strCache>
            </c:strRef>
          </c:cat>
          <c:val>
            <c:numRef>
              <c:f>Outpatient!$C$5:$N$5</c:f>
              <c:numCache>
                <c:formatCode>0%</c:formatCode>
                <c:ptCount val="12"/>
                <c:pt idx="0">
                  <c:v>0.93</c:v>
                </c:pt>
                <c:pt idx="1">
                  <c:v>0.94</c:v>
                </c:pt>
                <c:pt idx="2">
                  <c:v>0.94</c:v>
                </c:pt>
                <c:pt idx="3">
                  <c:v>0.94</c:v>
                </c:pt>
                <c:pt idx="4">
                  <c:v>0.94</c:v>
                </c:pt>
                <c:pt idx="5">
                  <c:v>0.94</c:v>
                </c:pt>
                <c:pt idx="6">
                  <c:v>0.94</c:v>
                </c:pt>
                <c:pt idx="7">
                  <c:v>0.94</c:v>
                </c:pt>
                <c:pt idx="8">
                  <c:v>0.94</c:v>
                </c:pt>
                <c:pt idx="9">
                  <c:v>0.94</c:v>
                </c:pt>
                <c:pt idx="10">
                  <c:v>0.94</c:v>
                </c:pt>
                <c:pt idx="11">
                  <c:v>0.94</c:v>
                </c:pt>
              </c:numCache>
            </c:numRef>
          </c:val>
          <c:smooth val="0"/>
          <c:extLst>
            <c:ext xmlns:c16="http://schemas.microsoft.com/office/drawing/2014/chart" uri="{C3380CC4-5D6E-409C-BE32-E72D297353CC}">
              <c16:uniqueId val="{00000002-3975-430D-A249-37B967F3E407}"/>
            </c:ext>
          </c:extLst>
        </c:ser>
        <c:dLbls>
          <c:showLegendKey val="0"/>
          <c:showVal val="0"/>
          <c:showCatName val="0"/>
          <c:showSerName val="0"/>
          <c:showPercent val="0"/>
          <c:showBubbleSize val="0"/>
        </c:dLbls>
        <c:smooth val="0"/>
        <c:axId val="322272703"/>
        <c:axId val="322292671"/>
      </c:lineChart>
      <c:catAx>
        <c:axId val="322272703"/>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292671"/>
        <c:crosses val="autoZero"/>
        <c:auto val="1"/>
        <c:lblAlgn val="ctr"/>
        <c:lblOffset val="100"/>
        <c:noMultiLvlLbl val="1"/>
      </c:catAx>
      <c:valAx>
        <c:axId val="3222926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2727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Arial" panose="020B0604020202020204" pitchFamily="34" charset="0"/>
                <a:cs typeface="Arial" panose="020B0604020202020204" pitchFamily="34" charset="0"/>
              </a:defRPr>
            </a:pPr>
            <a:r>
              <a:rPr lang="en-GB"/>
              <a:t>Number of formal complaints received by month from</a:t>
            </a:r>
            <a:r>
              <a:rPr lang="en-GB" baseline="0"/>
              <a:t> April 2022 onwards</a:t>
            </a:r>
            <a:endParaRPr lang="en-GB"/>
          </a:p>
        </c:rich>
      </c:tx>
      <c:layout/>
      <c:overlay val="0"/>
    </c:title>
    <c:autoTitleDeleted val="0"/>
    <c:plotArea>
      <c:layout/>
      <c:lineChart>
        <c:grouping val="standard"/>
        <c:varyColors val="0"/>
        <c:ser>
          <c:idx val="0"/>
          <c:order val="0"/>
          <c:tx>
            <c:strRef>
              <c:f>'chart template'!$B$1</c:f>
              <c:strCache>
                <c:ptCount val="1"/>
                <c:pt idx="0">
                  <c:v>Values</c:v>
                </c:pt>
              </c:strCache>
            </c:strRef>
          </c:tx>
          <c:spPr>
            <a:ln w="15875">
              <a:solidFill>
                <a:schemeClr val="tx1"/>
              </a:solidFill>
            </a:ln>
          </c:spPr>
          <c:marker>
            <c:symbol val="diamond"/>
            <c:size val="3"/>
            <c:spPr>
              <a:solidFill>
                <a:schemeClr val="tx1"/>
              </a:solidFill>
              <a:ln>
                <a:noFill/>
              </a:ln>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'chart template'!$A$59:$A$82</c:f>
              <c:numCache>
                <c:formatCode>mmm\-yy</c:formatCode>
                <c:ptCount val="24"/>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pt idx="12">
                  <c:v>45017</c:v>
                </c:pt>
                <c:pt idx="13">
                  <c:v>45047</c:v>
                </c:pt>
                <c:pt idx="14">
                  <c:v>45078</c:v>
                </c:pt>
                <c:pt idx="15">
                  <c:v>45108</c:v>
                </c:pt>
                <c:pt idx="16">
                  <c:v>45139</c:v>
                </c:pt>
                <c:pt idx="17">
                  <c:v>45170</c:v>
                </c:pt>
                <c:pt idx="18">
                  <c:v>45200</c:v>
                </c:pt>
                <c:pt idx="19">
                  <c:v>45231</c:v>
                </c:pt>
                <c:pt idx="20">
                  <c:v>45261</c:v>
                </c:pt>
                <c:pt idx="21">
                  <c:v>45292</c:v>
                </c:pt>
                <c:pt idx="22">
                  <c:v>45323</c:v>
                </c:pt>
                <c:pt idx="23">
                  <c:v>45352</c:v>
                </c:pt>
              </c:numCache>
            </c:numRef>
          </c:cat>
          <c:val>
            <c:numRef>
              <c:f>'chart template'!$B$59:$B$82</c:f>
              <c:numCache>
                <c:formatCode>General</c:formatCode>
                <c:ptCount val="24"/>
                <c:pt idx="0">
                  <c:v>29</c:v>
                </c:pt>
                <c:pt idx="1">
                  <c:v>41</c:v>
                </c:pt>
                <c:pt idx="2">
                  <c:v>32</c:v>
                </c:pt>
                <c:pt idx="3">
                  <c:v>40</c:v>
                </c:pt>
                <c:pt idx="4">
                  <c:v>57</c:v>
                </c:pt>
                <c:pt idx="5">
                  <c:v>36</c:v>
                </c:pt>
                <c:pt idx="6">
                  <c:v>49</c:v>
                </c:pt>
                <c:pt idx="7">
                  <c:v>41</c:v>
                </c:pt>
                <c:pt idx="8">
                  <c:v>27</c:v>
                </c:pt>
                <c:pt idx="9">
                  <c:v>34</c:v>
                </c:pt>
                <c:pt idx="10">
                  <c:v>57</c:v>
                </c:pt>
                <c:pt idx="11">
                  <c:v>42</c:v>
                </c:pt>
                <c:pt idx="12">
                  <c:v>29</c:v>
                </c:pt>
                <c:pt idx="13">
                  <c:v>51</c:v>
                </c:pt>
                <c:pt idx="14">
                  <c:v>42</c:v>
                </c:pt>
                <c:pt idx="15">
                  <c:v>45</c:v>
                </c:pt>
                <c:pt idx="16">
                  <c:v>53</c:v>
                </c:pt>
                <c:pt idx="17">
                  <c:v>39</c:v>
                </c:pt>
                <c:pt idx="18">
                  <c:v>37</c:v>
                </c:pt>
                <c:pt idx="19">
                  <c:v>43</c:v>
                </c:pt>
                <c:pt idx="20">
                  <c:v>26</c:v>
                </c:pt>
                <c:pt idx="21">
                  <c:v>21</c:v>
                </c:pt>
                <c:pt idx="22">
                  <c:v>38</c:v>
                </c:pt>
                <c:pt idx="23">
                  <c:v>34</c:v>
                </c:pt>
              </c:numCache>
            </c:numRef>
          </c:val>
          <c:smooth val="0"/>
          <c:extLst>
            <c:ext xmlns:c16="http://schemas.microsoft.com/office/drawing/2014/chart" uri="{C3380CC4-5D6E-409C-BE32-E72D297353CC}">
              <c16:uniqueId val="{00000000-13C8-4981-B8D2-903901311D09}"/>
            </c:ext>
          </c:extLst>
        </c:ser>
        <c:ser>
          <c:idx val="1"/>
          <c:order val="1"/>
          <c:tx>
            <c:strRef>
              <c:f>'chart template'!$C$1</c:f>
              <c:strCache>
                <c:ptCount val="1"/>
                <c:pt idx="0">
                  <c:v>Average</c:v>
                </c:pt>
              </c:strCache>
            </c:strRef>
          </c:tx>
          <c:spPr>
            <a:ln w="25400">
              <a:solidFill>
                <a:srgbClr val="FF0000"/>
              </a:solidFill>
            </a:ln>
          </c:spPr>
          <c:marker>
            <c:symbol val="none"/>
          </c:marker>
          <c:cat>
            <c:numRef>
              <c:f>'chart template'!$A$59:$A$82</c:f>
              <c:numCache>
                <c:formatCode>mmm\-yy</c:formatCode>
                <c:ptCount val="24"/>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pt idx="12">
                  <c:v>45017</c:v>
                </c:pt>
                <c:pt idx="13">
                  <c:v>45047</c:v>
                </c:pt>
                <c:pt idx="14">
                  <c:v>45078</c:v>
                </c:pt>
                <c:pt idx="15">
                  <c:v>45108</c:v>
                </c:pt>
                <c:pt idx="16">
                  <c:v>45139</c:v>
                </c:pt>
                <c:pt idx="17">
                  <c:v>45170</c:v>
                </c:pt>
                <c:pt idx="18">
                  <c:v>45200</c:v>
                </c:pt>
                <c:pt idx="19">
                  <c:v>45231</c:v>
                </c:pt>
                <c:pt idx="20">
                  <c:v>45261</c:v>
                </c:pt>
                <c:pt idx="21">
                  <c:v>45292</c:v>
                </c:pt>
                <c:pt idx="22">
                  <c:v>45323</c:v>
                </c:pt>
                <c:pt idx="23">
                  <c:v>45352</c:v>
                </c:pt>
              </c:numCache>
            </c:numRef>
          </c:cat>
          <c:val>
            <c:numRef>
              <c:f>'chart template'!$C$59:$C$82</c:f>
              <c:numCache>
                <c:formatCode>General</c:formatCode>
                <c:ptCount val="24"/>
                <c:pt idx="0">
                  <c:v>50.012345679012348</c:v>
                </c:pt>
                <c:pt idx="1">
                  <c:v>50.012345679012348</c:v>
                </c:pt>
                <c:pt idx="2">
                  <c:v>50.012345679012348</c:v>
                </c:pt>
                <c:pt idx="3">
                  <c:v>50.012345679012348</c:v>
                </c:pt>
                <c:pt idx="4">
                  <c:v>50.012345679012348</c:v>
                </c:pt>
                <c:pt idx="5">
                  <c:v>50.012345679012348</c:v>
                </c:pt>
                <c:pt idx="6">
                  <c:v>50.012345679012348</c:v>
                </c:pt>
                <c:pt idx="7">
                  <c:v>50.012345679012348</c:v>
                </c:pt>
                <c:pt idx="8">
                  <c:v>50.012345679012348</c:v>
                </c:pt>
                <c:pt idx="9">
                  <c:v>50.012345679012348</c:v>
                </c:pt>
                <c:pt idx="10">
                  <c:v>50.012345679012348</c:v>
                </c:pt>
                <c:pt idx="11">
                  <c:v>50.012345679012348</c:v>
                </c:pt>
                <c:pt idx="12">
                  <c:v>50.012345679012348</c:v>
                </c:pt>
                <c:pt idx="13">
                  <c:v>50.012345679012348</c:v>
                </c:pt>
                <c:pt idx="14">
                  <c:v>50.012345679012348</c:v>
                </c:pt>
                <c:pt idx="15">
                  <c:v>50.012345679012348</c:v>
                </c:pt>
                <c:pt idx="16">
                  <c:v>50.012345679012348</c:v>
                </c:pt>
                <c:pt idx="17">
                  <c:v>50.012345679012348</c:v>
                </c:pt>
                <c:pt idx="18">
                  <c:v>50.012345679012348</c:v>
                </c:pt>
                <c:pt idx="19">
                  <c:v>50.012345679012348</c:v>
                </c:pt>
                <c:pt idx="20">
                  <c:v>50.012345679012348</c:v>
                </c:pt>
                <c:pt idx="21">
                  <c:v>50.012345679012348</c:v>
                </c:pt>
                <c:pt idx="22">
                  <c:v>50.012345679012348</c:v>
                </c:pt>
                <c:pt idx="23">
                  <c:v>50.012345679012348</c:v>
                </c:pt>
              </c:numCache>
            </c:numRef>
          </c:val>
          <c:smooth val="0"/>
          <c:extLst>
            <c:ext xmlns:c16="http://schemas.microsoft.com/office/drawing/2014/chart" uri="{C3380CC4-5D6E-409C-BE32-E72D297353CC}">
              <c16:uniqueId val="{00000001-13C8-4981-B8D2-903901311D09}"/>
            </c:ext>
          </c:extLst>
        </c:ser>
        <c:ser>
          <c:idx val="2"/>
          <c:order val="2"/>
          <c:tx>
            <c:strRef>
              <c:f>'chart template'!$D$1</c:f>
              <c:strCache>
                <c:ptCount val="1"/>
                <c:pt idx="0">
                  <c:v>Upper limit</c:v>
                </c:pt>
              </c:strCache>
            </c:strRef>
          </c:tx>
          <c:spPr>
            <a:ln w="25400">
              <a:solidFill>
                <a:srgbClr val="0070C0"/>
              </a:solidFill>
            </a:ln>
          </c:spPr>
          <c:marker>
            <c:symbol val="none"/>
          </c:marker>
          <c:cat>
            <c:numRef>
              <c:f>'chart template'!$A$59:$A$82</c:f>
              <c:numCache>
                <c:formatCode>mmm\-yy</c:formatCode>
                <c:ptCount val="24"/>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pt idx="12">
                  <c:v>45017</c:v>
                </c:pt>
                <c:pt idx="13">
                  <c:v>45047</c:v>
                </c:pt>
                <c:pt idx="14">
                  <c:v>45078</c:v>
                </c:pt>
                <c:pt idx="15">
                  <c:v>45108</c:v>
                </c:pt>
                <c:pt idx="16">
                  <c:v>45139</c:v>
                </c:pt>
                <c:pt idx="17">
                  <c:v>45170</c:v>
                </c:pt>
                <c:pt idx="18">
                  <c:v>45200</c:v>
                </c:pt>
                <c:pt idx="19">
                  <c:v>45231</c:v>
                </c:pt>
                <c:pt idx="20">
                  <c:v>45261</c:v>
                </c:pt>
                <c:pt idx="21">
                  <c:v>45292</c:v>
                </c:pt>
                <c:pt idx="22">
                  <c:v>45323</c:v>
                </c:pt>
                <c:pt idx="23">
                  <c:v>45352</c:v>
                </c:pt>
              </c:numCache>
            </c:numRef>
          </c:cat>
          <c:val>
            <c:numRef>
              <c:f>'chart template'!$D$59:$D$82</c:f>
              <c:numCache>
                <c:formatCode>General</c:formatCode>
                <c:ptCount val="24"/>
                <c:pt idx="0">
                  <c:v>79.106095679012356</c:v>
                </c:pt>
                <c:pt idx="1">
                  <c:v>79.106095679012356</c:v>
                </c:pt>
                <c:pt idx="2">
                  <c:v>79.106095679012356</c:v>
                </c:pt>
                <c:pt idx="3">
                  <c:v>79.106095679012356</c:v>
                </c:pt>
                <c:pt idx="4">
                  <c:v>79.106095679012356</c:v>
                </c:pt>
                <c:pt idx="5">
                  <c:v>79.106095679012356</c:v>
                </c:pt>
                <c:pt idx="6">
                  <c:v>79.106095679012356</c:v>
                </c:pt>
                <c:pt idx="7">
                  <c:v>79.106095679012356</c:v>
                </c:pt>
                <c:pt idx="8">
                  <c:v>79.106095679012356</c:v>
                </c:pt>
                <c:pt idx="9">
                  <c:v>79.106095679012356</c:v>
                </c:pt>
                <c:pt idx="10">
                  <c:v>79.106095679012356</c:v>
                </c:pt>
                <c:pt idx="11">
                  <c:v>79.106095679012356</c:v>
                </c:pt>
                <c:pt idx="12">
                  <c:v>79.106095679012356</c:v>
                </c:pt>
                <c:pt idx="13">
                  <c:v>79.106095679012356</c:v>
                </c:pt>
                <c:pt idx="14">
                  <c:v>79.106095679012356</c:v>
                </c:pt>
                <c:pt idx="15">
                  <c:v>79.106095679012356</c:v>
                </c:pt>
                <c:pt idx="16">
                  <c:v>79.106095679012356</c:v>
                </c:pt>
                <c:pt idx="17">
                  <c:v>79.106095679012356</c:v>
                </c:pt>
                <c:pt idx="18">
                  <c:v>79.106095679012356</c:v>
                </c:pt>
                <c:pt idx="19">
                  <c:v>79.106095679012356</c:v>
                </c:pt>
                <c:pt idx="20">
                  <c:v>79.106095679012356</c:v>
                </c:pt>
                <c:pt idx="21">
                  <c:v>79.106095679012356</c:v>
                </c:pt>
                <c:pt idx="22">
                  <c:v>79.106095679012356</c:v>
                </c:pt>
                <c:pt idx="23">
                  <c:v>79.106095679012356</c:v>
                </c:pt>
              </c:numCache>
            </c:numRef>
          </c:val>
          <c:smooth val="0"/>
          <c:extLst>
            <c:ext xmlns:c16="http://schemas.microsoft.com/office/drawing/2014/chart" uri="{C3380CC4-5D6E-409C-BE32-E72D297353CC}">
              <c16:uniqueId val="{00000002-13C8-4981-B8D2-903901311D09}"/>
            </c:ext>
          </c:extLst>
        </c:ser>
        <c:ser>
          <c:idx val="3"/>
          <c:order val="3"/>
          <c:tx>
            <c:strRef>
              <c:f>'chart template'!$E$1</c:f>
              <c:strCache>
                <c:ptCount val="1"/>
                <c:pt idx="0">
                  <c:v>Lower limit</c:v>
                </c:pt>
              </c:strCache>
            </c:strRef>
          </c:tx>
          <c:spPr>
            <a:ln w="25400">
              <a:solidFill>
                <a:srgbClr val="00B050"/>
              </a:solidFill>
            </a:ln>
          </c:spPr>
          <c:marker>
            <c:symbol val="none"/>
          </c:marker>
          <c:cat>
            <c:numRef>
              <c:f>'chart template'!$A$59:$A$82</c:f>
              <c:numCache>
                <c:formatCode>mmm\-yy</c:formatCode>
                <c:ptCount val="24"/>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pt idx="12">
                  <c:v>45017</c:v>
                </c:pt>
                <c:pt idx="13">
                  <c:v>45047</c:v>
                </c:pt>
                <c:pt idx="14">
                  <c:v>45078</c:v>
                </c:pt>
                <c:pt idx="15">
                  <c:v>45108</c:v>
                </c:pt>
                <c:pt idx="16">
                  <c:v>45139</c:v>
                </c:pt>
                <c:pt idx="17">
                  <c:v>45170</c:v>
                </c:pt>
                <c:pt idx="18">
                  <c:v>45200</c:v>
                </c:pt>
                <c:pt idx="19">
                  <c:v>45231</c:v>
                </c:pt>
                <c:pt idx="20">
                  <c:v>45261</c:v>
                </c:pt>
                <c:pt idx="21">
                  <c:v>45292</c:v>
                </c:pt>
                <c:pt idx="22">
                  <c:v>45323</c:v>
                </c:pt>
                <c:pt idx="23">
                  <c:v>45352</c:v>
                </c:pt>
              </c:numCache>
            </c:numRef>
          </c:cat>
          <c:val>
            <c:numRef>
              <c:f>'chart template'!$E$59:$E$82</c:f>
              <c:numCache>
                <c:formatCode>General</c:formatCode>
                <c:ptCount val="24"/>
                <c:pt idx="0">
                  <c:v>20.918595679012348</c:v>
                </c:pt>
                <c:pt idx="1">
                  <c:v>20.918595679012348</c:v>
                </c:pt>
                <c:pt idx="2">
                  <c:v>20.918595679012348</c:v>
                </c:pt>
                <c:pt idx="3">
                  <c:v>20.918595679012348</c:v>
                </c:pt>
                <c:pt idx="4">
                  <c:v>20.918595679012348</c:v>
                </c:pt>
                <c:pt idx="5">
                  <c:v>20.918595679012348</c:v>
                </c:pt>
                <c:pt idx="6">
                  <c:v>20.918595679012348</c:v>
                </c:pt>
                <c:pt idx="7">
                  <c:v>20.918595679012348</c:v>
                </c:pt>
                <c:pt idx="8">
                  <c:v>20.918595679012348</c:v>
                </c:pt>
                <c:pt idx="9">
                  <c:v>20.918595679012348</c:v>
                </c:pt>
                <c:pt idx="10">
                  <c:v>20.918595679012348</c:v>
                </c:pt>
                <c:pt idx="11">
                  <c:v>20.918595679012348</c:v>
                </c:pt>
                <c:pt idx="12">
                  <c:v>20.918595679012348</c:v>
                </c:pt>
                <c:pt idx="13">
                  <c:v>20.918595679012348</c:v>
                </c:pt>
                <c:pt idx="14">
                  <c:v>20.918595679012348</c:v>
                </c:pt>
                <c:pt idx="15">
                  <c:v>20.918595679012348</c:v>
                </c:pt>
                <c:pt idx="16">
                  <c:v>20.918595679012348</c:v>
                </c:pt>
                <c:pt idx="17">
                  <c:v>20.918595679012348</c:v>
                </c:pt>
                <c:pt idx="18">
                  <c:v>20.918595679012348</c:v>
                </c:pt>
                <c:pt idx="19">
                  <c:v>20.918595679012348</c:v>
                </c:pt>
                <c:pt idx="20">
                  <c:v>20.918595679012348</c:v>
                </c:pt>
                <c:pt idx="21">
                  <c:v>20.918595679012348</c:v>
                </c:pt>
                <c:pt idx="22">
                  <c:v>20.918595679012348</c:v>
                </c:pt>
                <c:pt idx="23">
                  <c:v>20.918595679012348</c:v>
                </c:pt>
              </c:numCache>
            </c:numRef>
          </c:val>
          <c:smooth val="0"/>
          <c:extLst>
            <c:ext xmlns:c16="http://schemas.microsoft.com/office/drawing/2014/chart" uri="{C3380CC4-5D6E-409C-BE32-E72D297353CC}">
              <c16:uniqueId val="{00000003-13C8-4981-B8D2-903901311D09}"/>
            </c:ext>
          </c:extLst>
        </c:ser>
        <c:dLbls>
          <c:showLegendKey val="0"/>
          <c:showVal val="0"/>
          <c:showCatName val="0"/>
          <c:showSerName val="0"/>
          <c:showPercent val="0"/>
          <c:showBubbleSize val="0"/>
        </c:dLbls>
        <c:marker val="1"/>
        <c:smooth val="0"/>
        <c:axId val="166916864"/>
        <c:axId val="166918400"/>
      </c:lineChart>
      <c:catAx>
        <c:axId val="166916864"/>
        <c:scaling>
          <c:orientation val="minMax"/>
        </c:scaling>
        <c:delete val="0"/>
        <c:axPos val="b"/>
        <c:numFmt formatCode="dd/mm/yy" sourceLinked="0"/>
        <c:majorTickMark val="out"/>
        <c:minorTickMark val="none"/>
        <c:tickLblPos val="nextTo"/>
        <c:spPr>
          <a:ln>
            <a:noFill/>
          </a:ln>
        </c:spPr>
        <c:txPr>
          <a:bodyPr rot="-5400000" vert="horz"/>
          <a:lstStyle/>
          <a:p>
            <a:pPr>
              <a:defRPr sz="600">
                <a:latin typeface="Arial" panose="020B0604020202020204" pitchFamily="34" charset="0"/>
                <a:cs typeface="Arial" panose="020B0604020202020204" pitchFamily="34" charset="0"/>
              </a:defRPr>
            </a:pPr>
            <a:endParaRPr lang="en-US"/>
          </a:p>
        </c:txPr>
        <c:crossAx val="166918400"/>
        <c:crosses val="autoZero"/>
        <c:auto val="0"/>
        <c:lblAlgn val="ctr"/>
        <c:lblOffset val="100"/>
        <c:tickLblSkip val="1"/>
        <c:noMultiLvlLbl val="1"/>
      </c:catAx>
      <c:valAx>
        <c:axId val="166918400"/>
        <c:scaling>
          <c:orientation val="minMax"/>
          <c:min val="0"/>
        </c:scaling>
        <c:delete val="0"/>
        <c:axPos val="l"/>
        <c:majorGridlines>
          <c:spPr>
            <a:ln w="6350">
              <a:solidFill>
                <a:schemeClr val="bg1">
                  <a:lumMod val="75000"/>
                </a:schemeClr>
              </a:solidFill>
            </a:ln>
          </c:spPr>
        </c:majorGridlines>
        <c:numFmt formatCode="General" sourceLinked="1"/>
        <c:majorTickMark val="out"/>
        <c:minorTickMark val="none"/>
        <c:tickLblPos val="nextTo"/>
        <c:spPr>
          <a:ln>
            <a:noFill/>
          </a:ln>
        </c:spPr>
        <c:txPr>
          <a:bodyPr/>
          <a:lstStyle/>
          <a:p>
            <a:pPr>
              <a:defRPr sz="800">
                <a:latin typeface="Arial" panose="020B0604020202020204" pitchFamily="34" charset="0"/>
                <a:cs typeface="Arial" panose="020B0604020202020204" pitchFamily="34" charset="0"/>
              </a:defRPr>
            </a:pPr>
            <a:endParaRPr lang="en-US"/>
          </a:p>
        </c:txPr>
        <c:crossAx val="166916864"/>
        <c:crosses val="autoZero"/>
        <c:crossBetween val="between"/>
        <c:majorUnit val="10"/>
      </c:valAx>
    </c:plotArea>
    <c:legend>
      <c:legendPos val="b"/>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w="6350">
      <a:solidFill>
        <a:sysClr val="window" lastClr="FFFFFF">
          <a:lumMod val="75000"/>
        </a:sysClr>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b="1"/>
              <a:t>Number of complaints received by site from </a:t>
            </a:r>
          </a:p>
          <a:p>
            <a:pPr>
              <a:defRPr sz="1100" b="1"/>
            </a:pPr>
            <a:r>
              <a:rPr lang="en-GB" sz="1100" b="1"/>
              <a:t>21/22</a:t>
            </a:r>
            <a:r>
              <a:rPr lang="en-GB" sz="1100" b="1" baseline="0"/>
              <a:t> - 23/24</a:t>
            </a:r>
            <a:endParaRPr lang="en-GB" sz="1100" b="1"/>
          </a:p>
        </c:rich>
      </c:tx>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Sheet1!$A$4</c:f>
              <c:strCache>
                <c:ptCount val="1"/>
                <c:pt idx="0">
                  <c:v>West Middlesex Hospital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Sheet1!$B$3:$D$3</c:f>
              <c:strCache>
                <c:ptCount val="3"/>
                <c:pt idx="0">
                  <c:v>21/22</c:v>
                </c:pt>
                <c:pt idx="1">
                  <c:v>22/23</c:v>
                </c:pt>
                <c:pt idx="2">
                  <c:v>23/24</c:v>
                </c:pt>
              </c:strCache>
            </c:strRef>
          </c:cat>
          <c:val>
            <c:numRef>
              <c:f>Sheet1!$B$4:$D$4</c:f>
              <c:numCache>
                <c:formatCode>General</c:formatCode>
                <c:ptCount val="3"/>
                <c:pt idx="0">
                  <c:v>179</c:v>
                </c:pt>
                <c:pt idx="1">
                  <c:v>172</c:v>
                </c:pt>
                <c:pt idx="2">
                  <c:v>175</c:v>
                </c:pt>
              </c:numCache>
            </c:numRef>
          </c:val>
          <c:smooth val="0"/>
          <c:extLst>
            <c:ext xmlns:c16="http://schemas.microsoft.com/office/drawing/2014/chart" uri="{C3380CC4-5D6E-409C-BE32-E72D297353CC}">
              <c16:uniqueId val="{00000000-FD95-4977-B095-7B69EAE623EE}"/>
            </c:ext>
          </c:extLst>
        </c:ser>
        <c:ser>
          <c:idx val="1"/>
          <c:order val="1"/>
          <c:tx>
            <c:strRef>
              <c:f>Sheet1!$A$5</c:f>
              <c:strCache>
                <c:ptCount val="1"/>
                <c:pt idx="0">
                  <c:v>Chelsea and Westminster Hospital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Sheet1!$B$3:$D$3</c:f>
              <c:strCache>
                <c:ptCount val="3"/>
                <c:pt idx="0">
                  <c:v>21/22</c:v>
                </c:pt>
                <c:pt idx="1">
                  <c:v>22/23</c:v>
                </c:pt>
                <c:pt idx="2">
                  <c:v>23/24</c:v>
                </c:pt>
              </c:strCache>
            </c:strRef>
          </c:cat>
          <c:val>
            <c:numRef>
              <c:f>Sheet1!$B$5:$D$5</c:f>
              <c:numCache>
                <c:formatCode>General</c:formatCode>
                <c:ptCount val="3"/>
                <c:pt idx="0">
                  <c:v>270</c:v>
                </c:pt>
                <c:pt idx="1">
                  <c:v>308</c:v>
                </c:pt>
                <c:pt idx="2">
                  <c:v>283</c:v>
                </c:pt>
              </c:numCache>
            </c:numRef>
          </c:val>
          <c:smooth val="0"/>
          <c:extLst>
            <c:ext xmlns:c16="http://schemas.microsoft.com/office/drawing/2014/chart" uri="{C3380CC4-5D6E-409C-BE32-E72D297353CC}">
              <c16:uniqueId val="{00000001-FD95-4977-B095-7B69EAE623EE}"/>
            </c:ext>
          </c:extLst>
        </c:ser>
        <c:ser>
          <c:idx val="2"/>
          <c:order val="2"/>
          <c:tx>
            <c:strRef>
              <c:f>Sheet1!$A$6</c:f>
              <c:strCache>
                <c:ptCount val="1"/>
                <c:pt idx="0">
                  <c:v>Total</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Sheet1!$B$3:$D$3</c:f>
              <c:strCache>
                <c:ptCount val="3"/>
                <c:pt idx="0">
                  <c:v>21/22</c:v>
                </c:pt>
                <c:pt idx="1">
                  <c:v>22/23</c:v>
                </c:pt>
                <c:pt idx="2">
                  <c:v>23/24</c:v>
                </c:pt>
              </c:strCache>
            </c:strRef>
          </c:cat>
          <c:val>
            <c:numRef>
              <c:f>Sheet1!$B$6:$D$6</c:f>
              <c:numCache>
                <c:formatCode>General</c:formatCode>
                <c:ptCount val="3"/>
                <c:pt idx="0">
                  <c:v>449</c:v>
                </c:pt>
                <c:pt idx="1">
                  <c:v>481</c:v>
                </c:pt>
                <c:pt idx="2">
                  <c:v>458</c:v>
                </c:pt>
              </c:numCache>
            </c:numRef>
          </c:val>
          <c:smooth val="0"/>
          <c:extLst>
            <c:ext xmlns:c16="http://schemas.microsoft.com/office/drawing/2014/chart" uri="{C3380CC4-5D6E-409C-BE32-E72D297353CC}">
              <c16:uniqueId val="{00000002-FD95-4977-B095-7B69EAE623EE}"/>
            </c:ext>
          </c:extLst>
        </c:ser>
        <c:dLbls>
          <c:showLegendKey val="0"/>
          <c:showVal val="0"/>
          <c:showCatName val="0"/>
          <c:showSerName val="0"/>
          <c:showPercent val="0"/>
          <c:showBubbleSize val="0"/>
        </c:dLbls>
        <c:marker val="1"/>
        <c:smooth val="0"/>
        <c:axId val="694752383"/>
        <c:axId val="694754463"/>
      </c:lineChart>
      <c:catAx>
        <c:axId val="694752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754463"/>
        <c:crosses val="autoZero"/>
        <c:auto val="1"/>
        <c:lblAlgn val="ctr"/>
        <c:lblOffset val="100"/>
        <c:noMultiLvlLbl val="0"/>
      </c:catAx>
      <c:valAx>
        <c:axId val="6947544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752383"/>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[complaints received.xlsx]Sheet1!PivotTable1</c:name>
    <c:fmtId val="-1"/>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Complaints received</a:t>
            </a:r>
            <a:r>
              <a:rPr lang="en-GB" sz="1200" b="1" baseline="0"/>
              <a:t> by Site and Specialty</a:t>
            </a:r>
            <a:endParaRPr lang="en-GB" sz="1200" b="1"/>
          </a:p>
        </c:rich>
      </c:tx>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Sheet1!$B$3:$B$4</c:f>
              <c:strCache>
                <c:ptCount val="1"/>
                <c:pt idx="0">
                  <c:v>Chelsea and Westminster Hospital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Sheet1!$A$5:$A$16</c:f>
              <c:strCache>
                <c:ptCount val="11"/>
                <c:pt idx="0">
                  <c:v>Maternity / Obstetrics</c:v>
                </c:pt>
                <c:pt idx="1">
                  <c:v>Emergency Department</c:v>
                </c:pt>
                <c:pt idx="2">
                  <c:v>Trauma / Orthopaedics</c:v>
                </c:pt>
                <c:pt idx="3">
                  <c:v>Urology</c:v>
                </c:pt>
                <c:pt idx="4">
                  <c:v>Gynaecology</c:v>
                </c:pt>
                <c:pt idx="5">
                  <c:v>General Surgery</c:v>
                </c:pt>
                <c:pt idx="6">
                  <c:v>Care Of Elderly</c:v>
                </c:pt>
                <c:pt idx="7">
                  <c:v>Acute Medicine</c:v>
                </c:pt>
                <c:pt idx="8">
                  <c:v>Dermatology</c:v>
                </c:pt>
                <c:pt idx="9">
                  <c:v>Colorectal</c:v>
                </c:pt>
                <c:pt idx="10">
                  <c:v>Imaging</c:v>
                </c:pt>
              </c:strCache>
            </c:strRef>
          </c:cat>
          <c:val>
            <c:numRef>
              <c:f>Sheet1!$B$5:$B$16</c:f>
              <c:numCache>
                <c:formatCode>General</c:formatCode>
                <c:ptCount val="11"/>
                <c:pt idx="0">
                  <c:v>46</c:v>
                </c:pt>
                <c:pt idx="1">
                  <c:v>30</c:v>
                </c:pt>
                <c:pt idx="2">
                  <c:v>22</c:v>
                </c:pt>
                <c:pt idx="3">
                  <c:v>17</c:v>
                </c:pt>
                <c:pt idx="4">
                  <c:v>20</c:v>
                </c:pt>
                <c:pt idx="5">
                  <c:v>14</c:v>
                </c:pt>
                <c:pt idx="6">
                  <c:v>5</c:v>
                </c:pt>
                <c:pt idx="7">
                  <c:v>5</c:v>
                </c:pt>
                <c:pt idx="8">
                  <c:v>12</c:v>
                </c:pt>
                <c:pt idx="9">
                  <c:v>1</c:v>
                </c:pt>
                <c:pt idx="10">
                  <c:v>9</c:v>
                </c:pt>
              </c:numCache>
            </c:numRef>
          </c:val>
          <c:extLst>
            <c:ext xmlns:c16="http://schemas.microsoft.com/office/drawing/2014/chart" uri="{C3380CC4-5D6E-409C-BE32-E72D297353CC}">
              <c16:uniqueId val="{00000000-2134-4037-9EA8-F23400C47044}"/>
            </c:ext>
          </c:extLst>
        </c:ser>
        <c:ser>
          <c:idx val="1"/>
          <c:order val="1"/>
          <c:tx>
            <c:strRef>
              <c:f>Sheet1!$C$3:$C$4</c:f>
              <c:strCache>
                <c:ptCount val="1"/>
                <c:pt idx="0">
                  <c:v>Community nursing / clinics (provided by Trust)</c:v>
                </c:pt>
              </c:strCache>
            </c:strRef>
          </c:tx>
          <c:spPr>
            <a:solidFill>
              <a:schemeClr val="accent2"/>
            </a:solidFill>
            <a:ln>
              <a:noFill/>
            </a:ln>
            <a:effectLst/>
          </c:spPr>
          <c:invertIfNegative val="0"/>
          <c:cat>
            <c:strRef>
              <c:f>Sheet1!$A$5:$A$16</c:f>
              <c:strCache>
                <c:ptCount val="11"/>
                <c:pt idx="0">
                  <c:v>Maternity / Obstetrics</c:v>
                </c:pt>
                <c:pt idx="1">
                  <c:v>Emergency Department</c:v>
                </c:pt>
                <c:pt idx="2">
                  <c:v>Trauma / Orthopaedics</c:v>
                </c:pt>
                <c:pt idx="3">
                  <c:v>Urology</c:v>
                </c:pt>
                <c:pt idx="4">
                  <c:v>Gynaecology</c:v>
                </c:pt>
                <c:pt idx="5">
                  <c:v>General Surgery</c:v>
                </c:pt>
                <c:pt idx="6">
                  <c:v>Care Of Elderly</c:v>
                </c:pt>
                <c:pt idx="7">
                  <c:v>Acute Medicine</c:v>
                </c:pt>
                <c:pt idx="8">
                  <c:v>Dermatology</c:v>
                </c:pt>
                <c:pt idx="9">
                  <c:v>Colorectal</c:v>
                </c:pt>
                <c:pt idx="10">
                  <c:v>Imaging</c:v>
                </c:pt>
              </c:strCache>
            </c:strRef>
          </c:cat>
          <c:val>
            <c:numRef>
              <c:f>Sheet1!$C$5:$C$16</c:f>
              <c:numCache>
                <c:formatCode>General</c:formatCode>
                <c:ptCount val="11"/>
              </c:numCache>
            </c:numRef>
          </c:val>
          <c:extLst>
            <c:ext xmlns:c16="http://schemas.microsoft.com/office/drawing/2014/chart" uri="{C3380CC4-5D6E-409C-BE32-E72D297353CC}">
              <c16:uniqueId val="{00000001-2134-4037-9EA8-F23400C47044}"/>
            </c:ext>
          </c:extLst>
        </c:ser>
        <c:ser>
          <c:idx val="2"/>
          <c:order val="2"/>
          <c:tx>
            <c:strRef>
              <c:f>Sheet1!$D$3:$D$4</c:f>
              <c:strCache>
                <c:ptCount val="1"/>
                <c:pt idx="0">
                  <c:v>West Middlesex University Hospital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Sheet1!$A$5:$A$16</c:f>
              <c:strCache>
                <c:ptCount val="11"/>
                <c:pt idx="0">
                  <c:v>Maternity / Obstetrics</c:v>
                </c:pt>
                <c:pt idx="1">
                  <c:v>Emergency Department</c:v>
                </c:pt>
                <c:pt idx="2">
                  <c:v>Trauma / Orthopaedics</c:v>
                </c:pt>
                <c:pt idx="3">
                  <c:v>Urology</c:v>
                </c:pt>
                <c:pt idx="4">
                  <c:v>Gynaecology</c:v>
                </c:pt>
                <c:pt idx="5">
                  <c:v>General Surgery</c:v>
                </c:pt>
                <c:pt idx="6">
                  <c:v>Care Of Elderly</c:v>
                </c:pt>
                <c:pt idx="7">
                  <c:v>Acute Medicine</c:v>
                </c:pt>
                <c:pt idx="8">
                  <c:v>Dermatology</c:v>
                </c:pt>
                <c:pt idx="9">
                  <c:v>Colorectal</c:v>
                </c:pt>
                <c:pt idx="10">
                  <c:v>Imaging</c:v>
                </c:pt>
              </c:strCache>
            </c:strRef>
          </c:cat>
          <c:val>
            <c:numRef>
              <c:f>Sheet1!$D$5:$D$16</c:f>
              <c:numCache>
                <c:formatCode>General</c:formatCode>
                <c:ptCount val="11"/>
                <c:pt idx="0">
                  <c:v>8</c:v>
                </c:pt>
                <c:pt idx="1">
                  <c:v>15</c:v>
                </c:pt>
                <c:pt idx="2">
                  <c:v>15</c:v>
                </c:pt>
                <c:pt idx="3">
                  <c:v>14</c:v>
                </c:pt>
                <c:pt idx="4">
                  <c:v>5</c:v>
                </c:pt>
                <c:pt idx="5">
                  <c:v>6</c:v>
                </c:pt>
                <c:pt idx="6">
                  <c:v>14</c:v>
                </c:pt>
                <c:pt idx="7">
                  <c:v>11</c:v>
                </c:pt>
                <c:pt idx="8">
                  <c:v>3</c:v>
                </c:pt>
                <c:pt idx="9">
                  <c:v>10</c:v>
                </c:pt>
                <c:pt idx="10">
                  <c:v>2</c:v>
                </c:pt>
              </c:numCache>
            </c:numRef>
          </c:val>
          <c:extLst>
            <c:ext xmlns:c16="http://schemas.microsoft.com/office/drawing/2014/chart" uri="{C3380CC4-5D6E-409C-BE32-E72D297353CC}">
              <c16:uniqueId val="{00000002-2134-4037-9EA8-F23400C47044}"/>
            </c:ext>
          </c:extLst>
        </c:ser>
        <c:dLbls>
          <c:showLegendKey val="0"/>
          <c:showVal val="0"/>
          <c:showCatName val="0"/>
          <c:showSerName val="0"/>
          <c:showPercent val="0"/>
          <c:showBubbleSize val="0"/>
        </c:dLbls>
        <c:gapWidth val="219"/>
        <c:overlap val="-27"/>
        <c:axId val="817637552"/>
        <c:axId val="817637968"/>
      </c:barChart>
      <c:catAx>
        <c:axId val="81763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7637968"/>
        <c:crosses val="autoZero"/>
        <c:auto val="1"/>
        <c:lblAlgn val="ctr"/>
        <c:lblOffset val="100"/>
        <c:noMultiLvlLbl val="0"/>
      </c:catAx>
      <c:valAx>
        <c:axId val="817637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763755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59918-154A-418C-B288-7A28777F7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10366</Words>
  <Characters>59091</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Manager/>
  <Company>Chelsea and Westminster Healthcare NHS Fdn Trust</Company>
  <LinksUpToDate>false</LinksUpToDate>
  <CharactersWithSpaces>69319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Matt</dc:creator>
  <cp:keywords/>
  <dc:description/>
  <cp:lastModifiedBy>Price, Marie</cp:lastModifiedBy>
  <cp:revision>2</cp:revision>
  <cp:lastPrinted>2015-06-11T12:30:00Z</cp:lastPrinted>
  <dcterms:created xsi:type="dcterms:W3CDTF">2024-10-14T17:23:00Z</dcterms:created>
  <dcterms:modified xsi:type="dcterms:W3CDTF">2024-10-14T17:23:00Z</dcterms:modified>
  <cp:category/>
</cp:coreProperties>
</file>